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680"/>
        <w:jc w:val="center"/>
      </w:pPr>
      <w:r>
        <w:rPr>
          <w:rFonts w:ascii="Georgia" w:hAnsi="Georgia"/>
          <w:b/>
          <w:color w:val="315C46"/>
          <w:sz w:val="56"/>
        </w:rPr>
        <w:t>GUYANA’S RESOURCE-LED</w:t>
        <w:br/>
        <w:t>ECONOMIC TRANSFORMATION</w:t>
      </w:r>
    </w:p>
    <w:p>
      <w:pPr>
        <w:jc w:val="center"/>
      </w:pPr>
      <w:r>
        <w:rPr>
          <w:rFonts w:ascii="Georgia" w:hAnsi="Georgia"/>
          <w:i/>
          <w:color w:val="667068"/>
          <w:sz w:val="28"/>
        </w:rPr>
        <w:t>Evaluating commercial opportunity, public value, and long-term resilience</w:t>
      </w:r>
    </w:p>
    <w:p>
      <w:pPr>
        <w:spacing w:before="240"/>
        <w:jc w:val="center"/>
      </w:pPr>
      <w:r>
        <w:rPr>
          <w:b/>
          <w:sz w:val="24"/>
        </w:rPr>
        <w:t>Vishvanath Naik</w:t>
      </w:r>
    </w:p>
    <w:p>
      <w:pPr>
        <w:jc w:val="center"/>
      </w:pPr>
      <w:r>
        <w:rPr>
          <w:color w:val="667068"/>
          <w:sz w:val="20"/>
        </w:rPr>
        <w:t>Energy Strategy • Program Management • Economic Development</w:t>
      </w:r>
    </w:p>
    <w:p>
      <w:pPr>
        <w:jc w:val="center"/>
      </w:pPr>
      <w:r>
        <w:rPr>
          <w:color w:val="C7A14A"/>
          <w:sz w:val="18"/>
        </w:rPr>
        <w:t>Data current to 24 July 2026</w:t>
      </w:r>
    </w:p>
    <w:p/>
    <w:tbl>
      <w:tblPr>
        <w:tblW w:type="auto" w:w="0"/>
        <w:jc w:val="center"/>
        <w:tblLayout w:type="fixed"/>
        <w:tblLook w:firstColumn="1" w:firstRow="1" w:lastColumn="0" w:lastRow="0" w:noHBand="0" w:noVBand="1" w:val="04A0"/>
      </w:tblPr>
      <w:tblGrid>
        <w:gridCol w:w="9936"/>
      </w:tblGrid>
      <w:tr>
        <w:tc>
          <w:tcPr>
            <w:tcW w:type="dxa" w:w="9936"/>
            <w:shd w:fill="EFE4C4"/>
            <w:tcMar>
              <w:top w:w="160" w:type="dxa"/>
              <w:start w:w="180" w:type="dxa"/>
              <w:bottom w:w="160" w:type="dxa"/>
              <w:end w:w="180" w:type="dxa"/>
            </w:tcMar>
          </w:tcPr>
          <w:p>
            <w:r>
              <w:rPr>
                <w:b/>
                <w:color w:val="315C46"/>
                <w:sz w:val="18"/>
              </w:rPr>
              <w:t>INTEGRITY NOTICE</w:t>
            </w:r>
          </w:p>
          <w:p>
            <w:r>
              <w:rPr>
                <w:rFonts w:ascii="Georgia" w:hAnsi="Georgia"/>
                <w:b/>
                <w:color w:val="172019"/>
                <w:sz w:val="24"/>
              </w:rPr>
              <w:t>Independent portfolio analysis based solely on public sources. The allocation scenarios, scoring coefficients, triggers, and recommendations are author-designed; they are not government policy, an ExxonMobil plan, investment advice, or a prediction.</w:t>
            </w:r>
          </w:p>
        </w:tc>
      </w:tr>
    </w:tbl>
    <w:p>
      <w:r>
        <w:br w:type="page"/>
      </w:r>
    </w:p>
    <w:p>
      <w:pPr>
        <w:pStyle w:val="Heading1"/>
      </w:pPr>
      <w:r>
        <w:t>Executive Summary</w:t>
      </w:r>
    </w:p>
    <w:p>
      <w:r>
        <w:t>Guyana’s rapid oil development has created an unusual policy and commercial challenge: fiscal capacity is expanding faster than the domestic labour market, supplier base, public-investment system, and outcome-measurement architecture can easily absorb. The strategic question is therefore not simply how much oil can be produced or how much can be spent. It is how reliably petroleum revenue can be converted into productive assets, local capability, better public outcomes, economic diversification, and resilience.</w:t>
      </w:r>
    </w:p>
    <w:tbl>
      <w:tblPr>
        <w:tblW w:type="auto" w:w="0"/>
        <w:jc w:val="center"/>
        <w:tblLayout w:type="fixed"/>
        <w:tblLook w:firstColumn="1" w:firstRow="1" w:lastColumn="0" w:lastRow="0" w:noHBand="0" w:noVBand="1" w:val="04A0"/>
      </w:tblPr>
      <w:tblGrid>
        <w:gridCol w:w="9936"/>
      </w:tblGrid>
      <w:tr>
        <w:tc>
          <w:tcPr>
            <w:tcW w:type="dxa" w:w="9936"/>
            <w:shd w:fill="E7ECE4"/>
            <w:tcMar>
              <w:top w:w="160" w:type="dxa"/>
              <w:start w:w="180" w:type="dxa"/>
              <w:bottom w:w="160" w:type="dxa"/>
              <w:end w:w="180" w:type="dxa"/>
            </w:tcMar>
          </w:tcPr>
          <w:p>
            <w:r>
              <w:rPr>
                <w:b/>
                <w:color w:val="315C46"/>
                <w:sz w:val="18"/>
              </w:rPr>
              <w:t>RECOMMENDATION</w:t>
            </w:r>
          </w:p>
          <w:p>
            <w:r>
              <w:rPr>
                <w:rFonts w:ascii="Georgia" w:hAnsi="Georgia"/>
                <w:b/>
                <w:color w:val="172019"/>
                <w:sz w:val="24"/>
              </w:rPr>
              <w:t>Adopt a Balanced Transformation portfolio as the default: combine productivity infrastructure with human capital, export-oriented diversification, climate resilience, and stronger institutions, while retaining a transparent downside trigger that shifts new commitments toward a higher-savings Future-Proof pathway if petroleum receipts weaken.</w:t>
            </w:r>
          </w:p>
        </w:tc>
      </w:tr>
    </w:tbl>
    <w:p>
      <w:pPr>
        <w:pStyle w:val="Heading2"/>
      </w:pPr>
      <w:r>
        <w:t>Headline evidence</w:t>
      </w:r>
    </w:p>
    <w:tbl>
      <w:tblPr>
        <w:tblW w:type="auto" w:w="0"/>
        <w:jc w:val="center"/>
        <w:tblLayout w:type="fixed"/>
        <w:tblLook w:firstColumn="1" w:firstRow="1" w:lastColumn="0" w:lastRow="0" w:noHBand="0" w:noVBand="1" w:val="04A0"/>
      </w:tblPr>
      <w:tblGrid>
        <w:gridCol w:w="3312"/>
        <w:gridCol w:w="3312"/>
        <w:gridCol w:w="3312"/>
      </w:tblGrid>
      <w:tr>
        <w:trPr>
          <w:cantSplit/>
        </w:trPr>
        <w:tc>
          <w:tcPr>
            <w:tcW w:type="dxa" w:w="2232"/>
            <w:shd w:fill="315C46"/>
            <w:vAlign w:val="center"/>
            <w:tcMar>
              <w:top w:w="90" w:type="dxa"/>
              <w:start w:w="110" w:type="dxa"/>
              <w:bottom w:w="90" w:type="dxa"/>
              <w:end w:w="110" w:type="dxa"/>
            </w:tcMar>
          </w:tcPr>
          <w:p>
            <w:r>
              <w:rPr>
                <w:b/>
                <w:color w:val="FFFFFF"/>
                <w:sz w:val="17"/>
              </w:rPr>
              <w:t>Indicator</w:t>
            </w:r>
          </w:p>
        </w:tc>
        <w:tc>
          <w:tcPr>
            <w:tcW w:type="dxa" w:w="2664"/>
            <w:shd w:fill="315C46"/>
            <w:vAlign w:val="center"/>
            <w:tcMar>
              <w:top w:w="90" w:type="dxa"/>
              <w:start w:w="110" w:type="dxa"/>
              <w:bottom w:w="90" w:type="dxa"/>
              <w:end w:w="110" w:type="dxa"/>
            </w:tcMar>
          </w:tcPr>
          <w:p>
            <w:r>
              <w:rPr>
                <w:b/>
                <w:color w:val="FFFFFF"/>
                <w:sz w:val="17"/>
              </w:rPr>
              <w:t>Latest public evidence</w:t>
            </w:r>
          </w:p>
        </w:tc>
        <w:tc>
          <w:tcPr>
            <w:tcW w:type="dxa" w:w="5112"/>
            <w:shd w:fill="315C46"/>
            <w:vAlign w:val="center"/>
            <w:tcMar>
              <w:top w:w="90" w:type="dxa"/>
              <w:start w:w="110" w:type="dxa"/>
              <w:bottom w:w="90" w:type="dxa"/>
              <w:end w:w="110" w:type="dxa"/>
            </w:tcMar>
          </w:tcPr>
          <w:p>
            <w:r>
              <w:rPr>
                <w:b/>
                <w:color w:val="FFFFFF"/>
                <w:sz w:val="17"/>
              </w:rPr>
              <w:t>Why it matters</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Real GDP growth</w:t>
            </w:r>
          </w:p>
        </w:tc>
        <w:tc>
          <w:tcPr>
            <w:tcW w:type="dxa" w:w="2664"/>
            <w:vAlign w:val="center"/>
            <w:tcMar>
              <w:top w:w="90" w:type="dxa"/>
              <w:start w:w="110" w:type="dxa"/>
              <w:bottom w:w="90" w:type="dxa"/>
              <w:end w:w="110" w:type="dxa"/>
            </w:tcMar>
            <w:shd w:fill="EEF2EC"/>
          </w:tcPr>
          <w:p>
            <w:pPr>
              <w:spacing w:after="0"/>
            </w:pPr>
            <w:r>
              <w:rPr>
                <w:rFonts w:ascii="Aptos" w:hAnsi="Aptos"/>
                <w:color w:val="172019"/>
                <w:sz w:val="17"/>
              </w:rPr>
              <w:t>19.3% in 2025</w:t>
            </w:r>
          </w:p>
        </w:tc>
        <w:tc>
          <w:tcPr>
            <w:tcW w:type="dxa" w:w="5112"/>
            <w:vAlign w:val="center"/>
            <w:tcMar>
              <w:top w:w="90" w:type="dxa"/>
              <w:start w:w="110" w:type="dxa"/>
              <w:bottom w:w="90" w:type="dxa"/>
              <w:end w:w="110" w:type="dxa"/>
            </w:tcMar>
            <w:shd w:fill="EEF2EC"/>
          </w:tcPr>
          <w:p>
            <w:pPr>
              <w:spacing w:after="0"/>
            </w:pPr>
            <w:r>
              <w:rPr>
                <w:rFonts w:ascii="Aptos" w:hAnsi="Aptos"/>
                <w:color w:val="172019"/>
                <w:sz w:val="17"/>
              </w:rPr>
              <w:t>Exceptional expansion, but headline GDP is not itself a welfare outcome</w:t>
            </w:r>
          </w:p>
        </w:tc>
      </w:tr>
      <w:tr>
        <w:trPr>
          <w:cantSplit/>
        </w:trPr>
        <w:tc>
          <w:tcPr>
            <w:tcW w:type="dxa" w:w="2232"/>
            <w:vAlign w:val="center"/>
            <w:tcMar>
              <w:top w:w="90" w:type="dxa"/>
              <w:start w:w="110" w:type="dxa"/>
              <w:bottom w:w="90" w:type="dxa"/>
              <w:end w:w="110" w:type="dxa"/>
            </w:tcMar>
          </w:tcPr>
          <w:p>
            <w:pPr>
              <w:spacing w:after="0"/>
            </w:pPr>
            <w:r>
              <w:rPr>
                <w:rFonts w:ascii="Aptos" w:hAnsi="Aptos"/>
                <w:color w:val="172019"/>
                <w:sz w:val="17"/>
              </w:rPr>
              <w:t>Non-oil GDP growth</w:t>
            </w:r>
          </w:p>
        </w:tc>
        <w:tc>
          <w:tcPr>
            <w:tcW w:type="dxa" w:w="2664"/>
            <w:vAlign w:val="center"/>
            <w:tcMar>
              <w:top w:w="90" w:type="dxa"/>
              <w:start w:w="110" w:type="dxa"/>
              <w:bottom w:w="90" w:type="dxa"/>
              <w:end w:w="110" w:type="dxa"/>
            </w:tcMar>
          </w:tcPr>
          <w:p>
            <w:pPr>
              <w:spacing w:after="0"/>
            </w:pPr>
            <w:r>
              <w:rPr>
                <w:rFonts w:ascii="Aptos" w:hAnsi="Aptos"/>
                <w:color w:val="172019"/>
                <w:sz w:val="17"/>
              </w:rPr>
              <w:t>14.3% in 2025</w:t>
            </w:r>
          </w:p>
        </w:tc>
        <w:tc>
          <w:tcPr>
            <w:tcW w:type="dxa" w:w="5112"/>
            <w:vAlign w:val="center"/>
            <w:tcMar>
              <w:top w:w="90" w:type="dxa"/>
              <w:start w:w="110" w:type="dxa"/>
              <w:bottom w:w="90" w:type="dxa"/>
              <w:end w:w="110" w:type="dxa"/>
            </w:tcMar>
          </w:tcPr>
          <w:p>
            <w:pPr>
              <w:spacing w:after="0"/>
            </w:pPr>
            <w:r>
              <w:rPr>
                <w:rFonts w:ascii="Aptos" w:hAnsi="Aptos"/>
                <w:color w:val="172019"/>
                <w:sz w:val="17"/>
              </w:rPr>
              <w:t>Spillovers are broad, though sustained competitiveness remains the test</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Installed capacity</w:t>
            </w:r>
          </w:p>
        </w:tc>
        <w:tc>
          <w:tcPr>
            <w:tcW w:type="dxa" w:w="2664"/>
            <w:vAlign w:val="center"/>
            <w:tcMar>
              <w:top w:w="90" w:type="dxa"/>
              <w:start w:w="110" w:type="dxa"/>
              <w:bottom w:w="90" w:type="dxa"/>
              <w:end w:w="110" w:type="dxa"/>
            </w:tcMar>
            <w:shd w:fill="EEF2EC"/>
          </w:tcPr>
          <w:p>
            <w:pPr>
              <w:spacing w:after="0"/>
            </w:pPr>
            <w:r>
              <w:rPr>
                <w:rFonts w:ascii="Aptos" w:hAnsi="Aptos"/>
                <w:color w:val="172019"/>
                <w:sz w:val="17"/>
              </w:rPr>
              <w:t>Above 900,000 bpd after Yellowtail startup</w:t>
            </w:r>
          </w:p>
        </w:tc>
        <w:tc>
          <w:tcPr>
            <w:tcW w:type="dxa" w:w="5112"/>
            <w:vAlign w:val="center"/>
            <w:tcMar>
              <w:top w:w="90" w:type="dxa"/>
              <w:start w:w="110" w:type="dxa"/>
              <w:bottom w:w="90" w:type="dxa"/>
              <w:end w:w="110" w:type="dxa"/>
            </w:tcMar>
            <w:shd w:fill="EEF2EC"/>
          </w:tcPr>
          <w:p>
            <w:pPr>
              <w:spacing w:after="0"/>
            </w:pPr>
            <w:r>
              <w:rPr>
                <w:rFonts w:ascii="Aptos" w:hAnsi="Aptos"/>
                <w:color w:val="172019"/>
                <w:sz w:val="17"/>
              </w:rPr>
              <w:t>Commercial scale and revenue potential are still expanding</w:t>
            </w:r>
          </w:p>
        </w:tc>
      </w:tr>
      <w:tr>
        <w:trPr>
          <w:cantSplit/>
        </w:trPr>
        <w:tc>
          <w:tcPr>
            <w:tcW w:type="dxa" w:w="2232"/>
            <w:vAlign w:val="center"/>
            <w:tcMar>
              <w:top w:w="90" w:type="dxa"/>
              <w:start w:w="110" w:type="dxa"/>
              <w:bottom w:w="90" w:type="dxa"/>
              <w:end w:w="110" w:type="dxa"/>
            </w:tcMar>
          </w:tcPr>
          <w:p>
            <w:pPr>
              <w:spacing w:after="0"/>
            </w:pPr>
            <w:r>
              <w:rPr>
                <w:rFonts w:ascii="Aptos" w:hAnsi="Aptos"/>
                <w:color w:val="172019"/>
                <w:sz w:val="17"/>
              </w:rPr>
              <w:t>NRF balance</w:t>
            </w:r>
          </w:p>
        </w:tc>
        <w:tc>
          <w:tcPr>
            <w:tcW w:type="dxa" w:w="2664"/>
            <w:vAlign w:val="center"/>
            <w:tcMar>
              <w:top w:w="90" w:type="dxa"/>
              <w:start w:w="110" w:type="dxa"/>
              <w:bottom w:w="90" w:type="dxa"/>
              <w:end w:w="110" w:type="dxa"/>
            </w:tcMar>
          </w:tcPr>
          <w:p>
            <w:pPr>
              <w:spacing w:after="0"/>
            </w:pPr>
            <w:r>
              <w:rPr>
                <w:rFonts w:ascii="Aptos" w:hAnsi="Aptos"/>
                <w:color w:val="172019"/>
                <w:sz w:val="17"/>
              </w:rPr>
              <w:t>US$3.25bn at end-2025</w:t>
            </w:r>
          </w:p>
        </w:tc>
        <w:tc>
          <w:tcPr>
            <w:tcW w:type="dxa" w:w="5112"/>
            <w:vAlign w:val="center"/>
            <w:tcMar>
              <w:top w:w="90" w:type="dxa"/>
              <w:start w:w="110" w:type="dxa"/>
              <w:bottom w:w="90" w:type="dxa"/>
              <w:end w:w="110" w:type="dxa"/>
            </w:tcMar>
          </w:tcPr>
          <w:p>
            <w:pPr>
              <w:spacing w:after="0"/>
            </w:pPr>
            <w:r>
              <w:rPr>
                <w:rFonts w:ascii="Aptos" w:hAnsi="Aptos"/>
                <w:color w:val="172019"/>
                <w:sz w:val="17"/>
              </w:rPr>
              <w:t>A meaningful buffer, alongside large annual withdrawals</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Local capability</w:t>
            </w:r>
          </w:p>
        </w:tc>
        <w:tc>
          <w:tcPr>
            <w:tcW w:type="dxa" w:w="2664"/>
            <w:vAlign w:val="center"/>
            <w:tcMar>
              <w:top w:w="90" w:type="dxa"/>
              <w:start w:w="110" w:type="dxa"/>
              <w:bottom w:w="90" w:type="dxa"/>
              <w:end w:w="110" w:type="dxa"/>
            </w:tcMar>
            <w:shd w:fill="EEF2EC"/>
          </w:tcPr>
          <w:p>
            <w:pPr>
              <w:spacing w:after="0"/>
            </w:pPr>
            <w:r>
              <w:rPr>
                <w:rFonts w:ascii="Aptos" w:hAnsi="Aptos"/>
                <w:color w:val="172019"/>
                <w:sz w:val="17"/>
              </w:rPr>
              <w:t>&gt;1,200 businesses; ~7,000 Guyanese trained/employed</w:t>
            </w:r>
          </w:p>
        </w:tc>
        <w:tc>
          <w:tcPr>
            <w:tcW w:type="dxa" w:w="5112"/>
            <w:vAlign w:val="center"/>
            <w:tcMar>
              <w:top w:w="90" w:type="dxa"/>
              <w:start w:w="110" w:type="dxa"/>
              <w:bottom w:w="90" w:type="dxa"/>
              <w:end w:w="110" w:type="dxa"/>
            </w:tcMar>
            <w:shd w:fill="EEF2EC"/>
          </w:tcPr>
          <w:p>
            <w:pPr>
              <w:spacing w:after="0"/>
            </w:pPr>
            <w:r>
              <w:rPr>
                <w:rFonts w:ascii="Aptos" w:hAnsi="Aptos"/>
                <w:color w:val="172019"/>
                <w:sz w:val="17"/>
              </w:rPr>
              <w:t>Participation is growing; the next step is capability depth and export readiness</w:t>
            </w:r>
          </w:p>
        </w:tc>
      </w:tr>
    </w:tbl>
    <w:p>
      <w:pPr>
        <w:spacing w:after="0"/>
      </w:pPr>
    </w:p>
    <w:p>
      <w:pPr>
        <w:pStyle w:val="Heading2"/>
      </w:pPr>
      <w:r>
        <w:t>The decision in one sentence</w:t>
      </w:r>
    </w:p>
    <w:p>
      <w:r>
        <w:t>Maximize the quality of conversion—not the speed of spending alone.</w:t>
      </w:r>
    </w:p>
    <w:p>
      <w:pPr>
        <w:pStyle w:val="Heading1"/>
      </w:pPr>
      <w:r>
        <w:t>1. Context: Guyana at an Inflection Point</w:t>
      </w:r>
    </w:p>
    <w:p>
      <w:r>
        <w:t>Guyana’s 2025 real GDP grew 19.3%, with non-oil activity expanding 14.3% and crude-oil production rising 15.8%, according to the Bank of Guyana. Yellowtail began production in August 2025, taking installed capacity above 900,000 barrels per day; ExxonMobil stated an expectation of 1.7 million oil-equivalent barrels per day of capacity from eight developments by 2030. These figures describe scale and momentum, not a guaranteed development outcome.</w:t>
      </w:r>
    </w:p>
    <w:p>
      <w:r>
        <w:t>The fiscal channel is equally significant. Budget 2026 reports US$2.614 billion of NRF inflows and US$2.463 billion of withdrawals in 2025, leaving US$3.250 billion at year-end. Official projections show the balance rising to US$11.715 billion by 2029 under the reference path. The same budget reports more than 1,200 Guyanese businesses registered and more than US$2 billion in cumulative procurement in prescribed local-content sectors.</w:t>
      </w:r>
    </w:p>
    <w:p>
      <w:pPr>
        <w:pStyle w:val="Heading2"/>
      </w:pPr>
      <w:r>
        <w:t>The conversion problem</w:t>
      </w:r>
    </w:p>
    <w:p>
      <w:pPr>
        <w:tabs>
          <w:tab w:pos="432" w:val="left"/>
        </w:tabs>
        <w:ind w:left="432" w:hanging="216"/>
      </w:pPr>
      <w:r>
        <w:t>-</w:t>
        <w:tab/>
        <w:t>Resource → revenue: production and oil prices determine receipts, while contracts and fiscal rules shape the public share.</w:t>
      </w:r>
    </w:p>
    <w:p>
      <w:pPr>
        <w:tabs>
          <w:tab w:pos="432" w:val="left"/>
        </w:tabs>
        <w:ind w:left="432" w:hanging="216"/>
      </w:pPr>
      <w:r>
        <w:t>-</w:t>
        <w:tab/>
        <w:t>Revenue → capability: budget selection, procurement, project delivery, workforce capacity, and maintenance determine what is actually built.</w:t>
      </w:r>
    </w:p>
    <w:p>
      <w:pPr>
        <w:tabs>
          <w:tab w:pos="432" w:val="left"/>
        </w:tabs>
        <w:ind w:left="432" w:hanging="216"/>
      </w:pPr>
      <w:r>
        <w:t>-</w:t>
        <w:tab/>
        <w:t>Capability → outcomes: access, utilization, productivity, inclusion, and resilience determine whether assets improve lives and competitiveness.</w:t>
      </w:r>
    </w:p>
    <w:p>
      <w:pPr>
        <w:tabs>
          <w:tab w:pos="432" w:val="left"/>
        </w:tabs>
        <w:ind w:left="432" w:hanging="216"/>
      </w:pPr>
      <w:r>
        <w:t>-</w:t>
        <w:tab/>
        <w:t>Outcomes → legitimacy: transparent reporting and independent evaluation determine whether citizens can see and trust the conversion process.</w:t>
      </w:r>
    </w:p>
    <w:p>
      <w:pPr>
        <w:pStyle w:val="Heading1"/>
      </w:pPr>
      <w:r>
        <w:t>2. Analytical Framework</w:t>
      </w:r>
    </w:p>
    <w:p>
      <w:r>
        <w:t>This case study uses three decision lenses and a multi-criteria decision analysis (MCDA). The companion workbook makes every scenario assumption visible and formula-driven.</w:t>
      </w:r>
    </w:p>
    <w:tbl>
      <w:tblPr>
        <w:tblW w:type="auto" w:w="0"/>
        <w:jc w:val="center"/>
        <w:tblLayout w:type="fixed"/>
        <w:tblLook w:firstColumn="1" w:firstRow="1" w:lastColumn="0" w:lastRow="0" w:noHBand="0" w:noVBand="1" w:val="04A0"/>
      </w:tblPr>
      <w:tblGrid>
        <w:gridCol w:w="3312"/>
        <w:gridCol w:w="3312"/>
        <w:gridCol w:w="3312"/>
      </w:tblGrid>
      <w:tr>
        <w:trPr>
          <w:cantSplit/>
        </w:trPr>
        <w:tc>
          <w:tcPr>
            <w:tcW w:type="dxa" w:w="2232"/>
            <w:shd w:fill="315C46"/>
            <w:vAlign w:val="center"/>
            <w:tcMar>
              <w:top w:w="90" w:type="dxa"/>
              <w:start w:w="110" w:type="dxa"/>
              <w:bottom w:w="90" w:type="dxa"/>
              <w:end w:w="110" w:type="dxa"/>
            </w:tcMar>
          </w:tcPr>
          <w:p>
            <w:r>
              <w:rPr>
                <w:b/>
                <w:color w:val="FFFFFF"/>
                <w:sz w:val="17"/>
              </w:rPr>
              <w:t>Lens</w:t>
            </w:r>
          </w:p>
        </w:tc>
        <w:tc>
          <w:tcPr>
            <w:tcW w:type="dxa" w:w="3672"/>
            <w:shd w:fill="315C46"/>
            <w:vAlign w:val="center"/>
            <w:tcMar>
              <w:top w:w="90" w:type="dxa"/>
              <w:start w:w="110" w:type="dxa"/>
              <w:bottom w:w="90" w:type="dxa"/>
              <w:end w:w="110" w:type="dxa"/>
            </w:tcMar>
          </w:tcPr>
          <w:p>
            <w:r>
              <w:rPr>
                <w:b/>
                <w:color w:val="FFFFFF"/>
                <w:sz w:val="17"/>
              </w:rPr>
              <w:t>Question</w:t>
            </w:r>
          </w:p>
        </w:tc>
        <w:tc>
          <w:tcPr>
            <w:tcW w:type="dxa" w:w="4320"/>
            <w:shd w:fill="315C46"/>
            <w:vAlign w:val="center"/>
            <w:tcMar>
              <w:top w:w="90" w:type="dxa"/>
              <w:start w:w="110" w:type="dxa"/>
              <w:bottom w:w="90" w:type="dxa"/>
              <w:end w:w="110" w:type="dxa"/>
            </w:tcMar>
          </w:tcPr>
          <w:p>
            <w:r>
              <w:rPr>
                <w:b/>
                <w:color w:val="FFFFFF"/>
                <w:sz w:val="17"/>
              </w:rPr>
              <w:t>Representative measures</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Commercial opportunity</w:t>
            </w:r>
          </w:p>
        </w:tc>
        <w:tc>
          <w:tcPr>
            <w:tcW w:type="dxa" w:w="3672"/>
            <w:vAlign w:val="center"/>
            <w:tcMar>
              <w:top w:w="90" w:type="dxa"/>
              <w:start w:w="110" w:type="dxa"/>
              <w:bottom w:w="90" w:type="dxa"/>
              <w:end w:w="110" w:type="dxa"/>
            </w:tcMar>
            <w:shd w:fill="EEF2EC"/>
          </w:tcPr>
          <w:p>
            <w:pPr>
              <w:spacing w:after="0"/>
            </w:pPr>
            <w:r>
              <w:rPr>
                <w:rFonts w:ascii="Aptos" w:hAnsi="Aptos"/>
                <w:color w:val="172019"/>
                <w:sz w:val="17"/>
              </w:rPr>
              <w:t>Does spending build productivity, competitive firms, and exportable capability?</w:t>
            </w:r>
          </w:p>
        </w:tc>
        <w:tc>
          <w:tcPr>
            <w:tcW w:type="dxa" w:w="4320"/>
            <w:vAlign w:val="center"/>
            <w:tcMar>
              <w:top w:w="90" w:type="dxa"/>
              <w:start w:w="110" w:type="dxa"/>
              <w:bottom w:w="90" w:type="dxa"/>
              <w:end w:w="110" w:type="dxa"/>
            </w:tcMar>
            <w:shd w:fill="EEF2EC"/>
          </w:tcPr>
          <w:p>
            <w:pPr>
              <w:spacing w:after="0"/>
            </w:pPr>
            <w:r>
              <w:rPr>
                <w:rFonts w:ascii="Aptos" w:hAnsi="Aptos"/>
                <w:color w:val="172019"/>
                <w:sz w:val="17"/>
              </w:rPr>
              <w:t>Infrastructure performance; non-oil exports; supplier upgrading; private investment</w:t>
            </w:r>
          </w:p>
        </w:tc>
      </w:tr>
      <w:tr>
        <w:trPr>
          <w:cantSplit/>
        </w:trPr>
        <w:tc>
          <w:tcPr>
            <w:tcW w:type="dxa" w:w="2232"/>
            <w:vAlign w:val="center"/>
            <w:tcMar>
              <w:top w:w="90" w:type="dxa"/>
              <w:start w:w="110" w:type="dxa"/>
              <w:bottom w:w="90" w:type="dxa"/>
              <w:end w:w="110" w:type="dxa"/>
            </w:tcMar>
          </w:tcPr>
          <w:p>
            <w:pPr>
              <w:spacing w:after="0"/>
            </w:pPr>
            <w:r>
              <w:rPr>
                <w:rFonts w:ascii="Aptos" w:hAnsi="Aptos"/>
                <w:color w:val="172019"/>
                <w:sz w:val="17"/>
              </w:rPr>
              <w:t>Public value</w:t>
            </w:r>
          </w:p>
        </w:tc>
        <w:tc>
          <w:tcPr>
            <w:tcW w:type="dxa" w:w="3672"/>
            <w:vAlign w:val="center"/>
            <w:tcMar>
              <w:top w:w="90" w:type="dxa"/>
              <w:start w:w="110" w:type="dxa"/>
              <w:bottom w:w="90" w:type="dxa"/>
              <w:end w:w="110" w:type="dxa"/>
            </w:tcMar>
          </w:tcPr>
          <w:p>
            <w:pPr>
              <w:spacing w:after="0"/>
            </w:pPr>
            <w:r>
              <w:rPr>
                <w:rFonts w:ascii="Aptos" w:hAnsi="Aptos"/>
                <w:color w:val="172019"/>
                <w:sz w:val="17"/>
              </w:rPr>
              <w:t>Do benefits reach people and places through improved opportunity and services?</w:t>
            </w:r>
          </w:p>
        </w:tc>
        <w:tc>
          <w:tcPr>
            <w:tcW w:type="dxa" w:w="4320"/>
            <w:vAlign w:val="center"/>
            <w:tcMar>
              <w:top w:w="90" w:type="dxa"/>
              <w:start w:w="110" w:type="dxa"/>
              <w:bottom w:w="90" w:type="dxa"/>
              <w:end w:w="110" w:type="dxa"/>
            </w:tcMar>
          </w:tcPr>
          <w:p>
            <w:pPr>
              <w:spacing w:after="0"/>
            </w:pPr>
            <w:r>
              <w:rPr>
                <w:rFonts w:ascii="Aptos" w:hAnsi="Aptos"/>
                <w:color w:val="172019"/>
                <w:sz w:val="17"/>
              </w:rPr>
              <w:t>Skills-to-jobs; health/education access; affordability; regional inclusion</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Long-term resilience</w:t>
            </w:r>
          </w:p>
        </w:tc>
        <w:tc>
          <w:tcPr>
            <w:tcW w:type="dxa" w:w="3672"/>
            <w:vAlign w:val="center"/>
            <w:tcMar>
              <w:top w:w="90" w:type="dxa"/>
              <w:start w:w="110" w:type="dxa"/>
              <w:bottom w:w="90" w:type="dxa"/>
              <w:end w:w="110" w:type="dxa"/>
            </w:tcMar>
            <w:shd w:fill="EEF2EC"/>
          </w:tcPr>
          <w:p>
            <w:pPr>
              <w:spacing w:after="0"/>
            </w:pPr>
            <w:r>
              <w:rPr>
                <w:rFonts w:ascii="Aptos" w:hAnsi="Aptos"/>
                <w:color w:val="172019"/>
                <w:sz w:val="17"/>
              </w:rPr>
              <w:t>Can the system absorb oil, execution, climate, and governance shocks?</w:t>
            </w:r>
          </w:p>
        </w:tc>
        <w:tc>
          <w:tcPr>
            <w:tcW w:type="dxa" w:w="4320"/>
            <w:vAlign w:val="center"/>
            <w:tcMar>
              <w:top w:w="90" w:type="dxa"/>
              <w:start w:w="110" w:type="dxa"/>
              <w:bottom w:w="90" w:type="dxa"/>
              <w:end w:w="110" w:type="dxa"/>
            </w:tcMar>
            <w:shd w:fill="EEF2EC"/>
          </w:tcPr>
          <w:p>
            <w:pPr>
              <w:spacing w:after="0"/>
            </w:pPr>
            <w:r>
              <w:rPr>
                <w:rFonts w:ascii="Aptos" w:hAnsi="Aptos"/>
                <w:color w:val="172019"/>
                <w:sz w:val="17"/>
              </w:rPr>
              <w:t>NRF buffer; diversification; coastal protection; institutional and data quality</w:t>
            </w:r>
          </w:p>
        </w:tc>
      </w:tr>
    </w:tbl>
    <w:p>
      <w:pPr>
        <w:spacing w:after="0"/>
      </w:pPr>
    </w:p>
    <w:p>
      <w:pPr>
        <w:pStyle w:val="Heading2"/>
      </w:pPr>
      <w:r>
        <w:t>Model boundary</w:t>
      </w:r>
    </w:p>
    <w:p>
      <w:r>
        <w:t>The model does not forecast GDP, company profitability, the value of petroleum reserves, or specific project returns. It compares three hypothetical approaches to the official 2026–2029 NRF withdrawal path. Category coefficients represent the author’s judgment about the relative contribution of each allocation type to commercial value, public value, and resilience. The workbook is designed for discussion and sensitivity testing rather than econometric inference.</w:t>
      </w:r>
    </w:p>
    <w:p>
      <w:pPr>
        <w:pStyle w:val="Heading1"/>
      </w:pPr>
      <w:r>
        <w:t>3. Commercial Opportunity</w:t>
      </w:r>
    </w:p>
    <w:p>
      <w:r>
        <w:t>Guyana’s strongest non-oil opportunities are likely to emerge where the petroleum build-out forces the economy to develop capabilities that can later serve other sectors and regional markets. The commercial goal is not permanent dependence on oil procurement. It is a ladder from participation to reliable delivery, technical upgrading, innovation, and exports.</w:t>
      </w:r>
    </w:p>
    <w:tbl>
      <w:tblPr>
        <w:tblW w:type="auto" w:w="0"/>
        <w:jc w:val="center"/>
        <w:tblLayout w:type="fixed"/>
        <w:tblLook w:firstColumn="1" w:firstRow="1" w:lastColumn="0" w:lastRow="0" w:noHBand="0" w:noVBand="1" w:val="04A0"/>
      </w:tblPr>
      <w:tblGrid>
        <w:gridCol w:w="3312"/>
        <w:gridCol w:w="3312"/>
        <w:gridCol w:w="3312"/>
      </w:tblGrid>
      <w:tr>
        <w:trPr>
          <w:cantSplit/>
        </w:trPr>
        <w:tc>
          <w:tcPr>
            <w:tcW w:type="dxa" w:w="2376"/>
            <w:shd w:fill="315C46"/>
            <w:vAlign w:val="center"/>
            <w:tcMar>
              <w:top w:w="90" w:type="dxa"/>
              <w:start w:w="110" w:type="dxa"/>
              <w:bottom w:w="90" w:type="dxa"/>
              <w:end w:w="110" w:type="dxa"/>
            </w:tcMar>
          </w:tcPr>
          <w:p>
            <w:r>
              <w:rPr>
                <w:b/>
                <w:color w:val="FFFFFF"/>
                <w:sz w:val="17"/>
              </w:rPr>
              <w:t>Opportunity platform</w:t>
            </w:r>
          </w:p>
        </w:tc>
        <w:tc>
          <w:tcPr>
            <w:tcW w:type="dxa" w:w="3888"/>
            <w:shd w:fill="315C46"/>
            <w:vAlign w:val="center"/>
            <w:tcMar>
              <w:top w:w="90" w:type="dxa"/>
              <w:start w:w="110" w:type="dxa"/>
              <w:bottom w:w="90" w:type="dxa"/>
              <w:end w:w="110" w:type="dxa"/>
            </w:tcMar>
          </w:tcPr>
          <w:p>
            <w:r>
              <w:rPr>
                <w:b/>
                <w:color w:val="FFFFFF"/>
                <w:sz w:val="17"/>
              </w:rPr>
              <w:t>Near-term move</w:t>
            </w:r>
          </w:p>
        </w:tc>
        <w:tc>
          <w:tcPr>
            <w:tcW w:type="dxa" w:w="3960"/>
            <w:shd w:fill="315C46"/>
            <w:vAlign w:val="center"/>
            <w:tcMar>
              <w:top w:w="90" w:type="dxa"/>
              <w:start w:w="110" w:type="dxa"/>
              <w:bottom w:w="90" w:type="dxa"/>
              <w:end w:w="110" w:type="dxa"/>
            </w:tcMar>
          </w:tcPr>
          <w:p>
            <w:r>
              <w:rPr>
                <w:b/>
                <w:color w:val="FFFFFF"/>
                <w:sz w:val="17"/>
              </w:rPr>
              <w:t>Long-term value thesis</w:t>
            </w:r>
          </w:p>
        </w:tc>
      </w:tr>
      <w:tr>
        <w:trPr>
          <w:cantSplit/>
        </w:trPr>
        <w:tc>
          <w:tcPr>
            <w:tcW w:type="dxa" w:w="2376"/>
            <w:vAlign w:val="center"/>
            <w:tcMar>
              <w:top w:w="90" w:type="dxa"/>
              <w:start w:w="110" w:type="dxa"/>
              <w:bottom w:w="90" w:type="dxa"/>
              <w:end w:w="110" w:type="dxa"/>
            </w:tcMar>
            <w:shd w:fill="EEF2EC"/>
          </w:tcPr>
          <w:p>
            <w:pPr>
              <w:spacing w:after="0"/>
            </w:pPr>
            <w:r>
              <w:rPr>
                <w:rFonts w:ascii="Aptos" w:hAnsi="Aptos"/>
                <w:color w:val="172019"/>
                <w:sz w:val="17"/>
              </w:rPr>
              <w:t>Energy and industrial services</w:t>
            </w:r>
          </w:p>
        </w:tc>
        <w:tc>
          <w:tcPr>
            <w:tcW w:type="dxa" w:w="3888"/>
            <w:vAlign w:val="center"/>
            <w:tcMar>
              <w:top w:w="90" w:type="dxa"/>
              <w:start w:w="110" w:type="dxa"/>
              <w:bottom w:w="90" w:type="dxa"/>
              <w:end w:w="110" w:type="dxa"/>
            </w:tcMar>
            <w:shd w:fill="EEF2EC"/>
          </w:tcPr>
          <w:p>
            <w:pPr>
              <w:spacing w:after="0"/>
            </w:pPr>
            <w:r>
              <w:rPr>
                <w:rFonts w:ascii="Aptos" w:hAnsi="Aptos"/>
                <w:color w:val="172019"/>
                <w:sz w:val="17"/>
              </w:rPr>
              <w:t>Deepen fabrication, maintenance, logistics, HSE, digital operations</w:t>
            </w:r>
          </w:p>
        </w:tc>
        <w:tc>
          <w:tcPr>
            <w:tcW w:type="dxa" w:w="3960"/>
            <w:vAlign w:val="center"/>
            <w:tcMar>
              <w:top w:w="90" w:type="dxa"/>
              <w:start w:w="110" w:type="dxa"/>
              <w:bottom w:w="90" w:type="dxa"/>
              <w:end w:w="110" w:type="dxa"/>
            </w:tcMar>
            <w:shd w:fill="EEF2EC"/>
          </w:tcPr>
          <w:p>
            <w:pPr>
              <w:spacing w:after="0"/>
            </w:pPr>
            <w:r>
              <w:rPr>
                <w:rFonts w:ascii="Aptos" w:hAnsi="Aptos"/>
                <w:color w:val="172019"/>
                <w:sz w:val="17"/>
              </w:rPr>
              <w:t>Export technical services and management capability across the region</w:t>
            </w:r>
          </w:p>
        </w:tc>
      </w:tr>
      <w:tr>
        <w:trPr>
          <w:cantSplit/>
        </w:trPr>
        <w:tc>
          <w:tcPr>
            <w:tcW w:type="dxa" w:w="2376"/>
            <w:vAlign w:val="center"/>
            <w:tcMar>
              <w:top w:w="90" w:type="dxa"/>
              <w:start w:w="110" w:type="dxa"/>
              <w:bottom w:w="90" w:type="dxa"/>
              <w:end w:w="110" w:type="dxa"/>
            </w:tcMar>
          </w:tcPr>
          <w:p>
            <w:pPr>
              <w:spacing w:after="0"/>
            </w:pPr>
            <w:r>
              <w:rPr>
                <w:rFonts w:ascii="Aptos" w:hAnsi="Aptos"/>
                <w:color w:val="172019"/>
                <w:sz w:val="17"/>
              </w:rPr>
              <w:t>Agriculture and agro-processing</w:t>
            </w:r>
          </w:p>
        </w:tc>
        <w:tc>
          <w:tcPr>
            <w:tcW w:type="dxa" w:w="3888"/>
            <w:vAlign w:val="center"/>
            <w:tcMar>
              <w:top w:w="90" w:type="dxa"/>
              <w:start w:w="110" w:type="dxa"/>
              <w:bottom w:w="90" w:type="dxa"/>
              <w:end w:w="110" w:type="dxa"/>
            </w:tcMar>
          </w:tcPr>
          <w:p>
            <w:pPr>
              <w:spacing w:after="0"/>
            </w:pPr>
            <w:r>
              <w:rPr>
                <w:rFonts w:ascii="Aptos" w:hAnsi="Aptos"/>
                <w:color w:val="172019"/>
                <w:sz w:val="17"/>
              </w:rPr>
              <w:t>Improve power, cold chain, standards, finance, and logistics</w:t>
            </w:r>
          </w:p>
        </w:tc>
        <w:tc>
          <w:tcPr>
            <w:tcW w:type="dxa" w:w="3960"/>
            <w:vAlign w:val="center"/>
            <w:tcMar>
              <w:top w:w="90" w:type="dxa"/>
              <w:start w:w="110" w:type="dxa"/>
              <w:bottom w:w="90" w:type="dxa"/>
              <w:end w:w="110" w:type="dxa"/>
            </w:tcMar>
          </w:tcPr>
          <w:p>
            <w:pPr>
              <w:spacing w:after="0"/>
            </w:pPr>
            <w:r>
              <w:rPr>
                <w:rFonts w:ascii="Aptos" w:hAnsi="Aptos"/>
                <w:color w:val="172019"/>
                <w:sz w:val="17"/>
              </w:rPr>
              <w:t>Food security plus differentiated regional exports</w:t>
            </w:r>
          </w:p>
        </w:tc>
      </w:tr>
      <w:tr>
        <w:trPr>
          <w:cantSplit/>
        </w:trPr>
        <w:tc>
          <w:tcPr>
            <w:tcW w:type="dxa" w:w="2376"/>
            <w:vAlign w:val="center"/>
            <w:tcMar>
              <w:top w:w="90" w:type="dxa"/>
              <w:start w:w="110" w:type="dxa"/>
              <w:bottom w:w="90" w:type="dxa"/>
              <w:end w:w="110" w:type="dxa"/>
            </w:tcMar>
            <w:shd w:fill="EEF2EC"/>
          </w:tcPr>
          <w:p>
            <w:pPr>
              <w:spacing w:after="0"/>
            </w:pPr>
            <w:r>
              <w:rPr>
                <w:rFonts w:ascii="Aptos" w:hAnsi="Aptos"/>
                <w:color w:val="172019"/>
                <w:sz w:val="17"/>
              </w:rPr>
              <w:t>Infrastructure systems</w:t>
            </w:r>
          </w:p>
        </w:tc>
        <w:tc>
          <w:tcPr>
            <w:tcW w:type="dxa" w:w="3888"/>
            <w:vAlign w:val="center"/>
            <w:tcMar>
              <w:top w:w="90" w:type="dxa"/>
              <w:start w:w="110" w:type="dxa"/>
              <w:bottom w:w="90" w:type="dxa"/>
              <w:end w:w="110" w:type="dxa"/>
            </w:tcMar>
            <w:shd w:fill="EEF2EC"/>
          </w:tcPr>
          <w:p>
            <w:pPr>
              <w:spacing w:after="0"/>
            </w:pPr>
            <w:r>
              <w:rPr>
                <w:rFonts w:ascii="Aptos" w:hAnsi="Aptos"/>
                <w:color w:val="172019"/>
                <w:sz w:val="17"/>
              </w:rPr>
              <w:t>Build delivery, maintenance, utility, and resilient-construction capability</w:t>
            </w:r>
          </w:p>
        </w:tc>
        <w:tc>
          <w:tcPr>
            <w:tcW w:type="dxa" w:w="3960"/>
            <w:vAlign w:val="center"/>
            <w:tcMar>
              <w:top w:w="90" w:type="dxa"/>
              <w:start w:w="110" w:type="dxa"/>
              <w:bottom w:w="90" w:type="dxa"/>
              <w:end w:w="110" w:type="dxa"/>
            </w:tcMar>
            <w:shd w:fill="EEF2EC"/>
          </w:tcPr>
          <w:p>
            <w:pPr>
              <w:spacing w:after="0"/>
            </w:pPr>
            <w:r>
              <w:rPr>
                <w:rFonts w:ascii="Aptos" w:hAnsi="Aptos"/>
                <w:color w:val="172019"/>
                <w:sz w:val="17"/>
              </w:rPr>
              <w:t>Lower economy-wide costs and create transferable service firms</w:t>
            </w:r>
          </w:p>
        </w:tc>
      </w:tr>
      <w:tr>
        <w:trPr>
          <w:cantSplit/>
        </w:trPr>
        <w:tc>
          <w:tcPr>
            <w:tcW w:type="dxa" w:w="2376"/>
            <w:vAlign w:val="center"/>
            <w:tcMar>
              <w:top w:w="90" w:type="dxa"/>
              <w:start w:w="110" w:type="dxa"/>
              <w:bottom w:w="90" w:type="dxa"/>
              <w:end w:w="110" w:type="dxa"/>
            </w:tcMar>
          </w:tcPr>
          <w:p>
            <w:pPr>
              <w:spacing w:after="0"/>
            </w:pPr>
            <w:r>
              <w:rPr>
                <w:rFonts w:ascii="Aptos" w:hAnsi="Aptos"/>
                <w:color w:val="172019"/>
                <w:sz w:val="17"/>
              </w:rPr>
              <w:t>Business and professional services</w:t>
            </w:r>
          </w:p>
        </w:tc>
        <w:tc>
          <w:tcPr>
            <w:tcW w:type="dxa" w:w="3888"/>
            <w:vAlign w:val="center"/>
            <w:tcMar>
              <w:top w:w="90" w:type="dxa"/>
              <w:start w:w="110" w:type="dxa"/>
              <w:bottom w:w="90" w:type="dxa"/>
              <w:end w:w="110" w:type="dxa"/>
            </w:tcMar>
          </w:tcPr>
          <w:p>
            <w:pPr>
              <w:spacing w:after="0"/>
            </w:pPr>
            <w:r>
              <w:rPr>
                <w:rFonts w:ascii="Aptos" w:hAnsi="Aptos"/>
                <w:color w:val="172019"/>
                <w:sz w:val="17"/>
              </w:rPr>
              <w:t>Develop compliance, engineering, finance, analytics, and project controls</w:t>
            </w:r>
          </w:p>
        </w:tc>
        <w:tc>
          <w:tcPr>
            <w:tcW w:type="dxa" w:w="3960"/>
            <w:vAlign w:val="center"/>
            <w:tcMar>
              <w:top w:w="90" w:type="dxa"/>
              <w:start w:w="110" w:type="dxa"/>
              <w:bottom w:w="90" w:type="dxa"/>
              <w:end w:w="110" w:type="dxa"/>
            </w:tcMar>
          </w:tcPr>
          <w:p>
            <w:pPr>
              <w:spacing w:after="0"/>
            </w:pPr>
            <w:r>
              <w:rPr>
                <w:rFonts w:ascii="Aptos" w:hAnsi="Aptos"/>
                <w:color w:val="172019"/>
                <w:sz w:val="17"/>
              </w:rPr>
              <w:t>Higher-value local employment and regional service exports</w:t>
            </w:r>
          </w:p>
        </w:tc>
      </w:tr>
      <w:tr>
        <w:trPr>
          <w:cantSplit/>
        </w:trPr>
        <w:tc>
          <w:tcPr>
            <w:tcW w:type="dxa" w:w="2376"/>
            <w:vAlign w:val="center"/>
            <w:tcMar>
              <w:top w:w="90" w:type="dxa"/>
              <w:start w:w="110" w:type="dxa"/>
              <w:bottom w:w="90" w:type="dxa"/>
              <w:end w:w="110" w:type="dxa"/>
            </w:tcMar>
            <w:shd w:fill="EEF2EC"/>
          </w:tcPr>
          <w:p>
            <w:pPr>
              <w:spacing w:after="0"/>
            </w:pPr>
            <w:r>
              <w:rPr>
                <w:rFonts w:ascii="Aptos" w:hAnsi="Aptos"/>
                <w:color w:val="172019"/>
                <w:sz w:val="17"/>
              </w:rPr>
              <w:t>Low-carbon value</w:t>
            </w:r>
          </w:p>
        </w:tc>
        <w:tc>
          <w:tcPr>
            <w:tcW w:type="dxa" w:w="3888"/>
            <w:vAlign w:val="center"/>
            <w:tcMar>
              <w:top w:w="90" w:type="dxa"/>
              <w:start w:w="110" w:type="dxa"/>
              <w:bottom w:w="90" w:type="dxa"/>
              <w:end w:w="110" w:type="dxa"/>
            </w:tcMar>
            <w:shd w:fill="EEF2EC"/>
          </w:tcPr>
          <w:p>
            <w:pPr>
              <w:spacing w:after="0"/>
            </w:pPr>
            <w:r>
              <w:rPr>
                <w:rFonts w:ascii="Aptos" w:hAnsi="Aptos"/>
                <w:color w:val="172019"/>
                <w:sz w:val="17"/>
              </w:rPr>
              <w:t>Link forest stewardship, tourism, and climate finance to credible measurement</w:t>
            </w:r>
          </w:p>
        </w:tc>
        <w:tc>
          <w:tcPr>
            <w:tcW w:type="dxa" w:w="3960"/>
            <w:vAlign w:val="center"/>
            <w:tcMar>
              <w:top w:w="90" w:type="dxa"/>
              <w:start w:w="110" w:type="dxa"/>
              <w:bottom w:w="90" w:type="dxa"/>
              <w:end w:w="110" w:type="dxa"/>
            </w:tcMar>
            <w:shd w:fill="EEF2EC"/>
          </w:tcPr>
          <w:p>
            <w:pPr>
              <w:spacing w:after="0"/>
            </w:pPr>
            <w:r>
              <w:rPr>
                <w:rFonts w:ascii="Aptos" w:hAnsi="Aptos"/>
                <w:color w:val="172019"/>
                <w:sz w:val="17"/>
              </w:rPr>
              <w:t>Diversified foreign exchange and resilient rural opportunity</w:t>
            </w:r>
          </w:p>
        </w:tc>
      </w:tr>
    </w:tbl>
    <w:p>
      <w:pPr>
        <w:spacing w:after="0"/>
      </w:pPr>
    </w:p>
    <w:p>
      <w:pPr>
        <w:pStyle w:val="Heading2"/>
      </w:pPr>
      <w:r>
        <w:t>Local-content KPI evolution</w:t>
      </w:r>
    </w:p>
    <w:p>
      <w:r>
        <w:t>Counts remain useful, but the management system should increasingly emphasize supplier survival, certification depth, local management positions, wage progression, productivity, intellectual property, and export revenue. This avoids treating local participation as an end state.</w:t>
      </w:r>
    </w:p>
    <w:p>
      <w:pPr>
        <w:pStyle w:val="Heading1"/>
      </w:pPr>
      <w:r>
        <w:t>4. Public-Value Portfolio</w:t>
      </w:r>
    </w:p>
    <w:p>
      <w:r>
        <w:t>The Balanced Transformation pathway allocates the modeled 2026–2029 withdrawal pool across six categories. These percentages are not a description of the national budget; they are an illustrative portfolio design used to make trade-offs explicit.</w:t>
      </w:r>
    </w:p>
    <w:tbl>
      <w:tblPr>
        <w:tblW w:type="auto" w:w="0"/>
        <w:jc w:val="center"/>
        <w:tblLayout w:type="fixed"/>
        <w:tblLook w:firstColumn="1" w:firstRow="1" w:lastColumn="0" w:lastRow="0" w:noHBand="0" w:noVBand="1" w:val="04A0"/>
      </w:tblPr>
      <w:tblGrid>
        <w:gridCol w:w="3312"/>
        <w:gridCol w:w="3312"/>
        <w:gridCol w:w="3312"/>
      </w:tblGrid>
      <w:tr>
        <w:trPr>
          <w:cantSplit/>
        </w:trPr>
        <w:tc>
          <w:tcPr>
            <w:tcW w:type="dxa" w:w="3168"/>
            <w:shd w:fill="315C46"/>
            <w:vAlign w:val="center"/>
            <w:tcMar>
              <w:top w:w="90" w:type="dxa"/>
              <w:start w:w="110" w:type="dxa"/>
              <w:bottom w:w="90" w:type="dxa"/>
              <w:end w:w="110" w:type="dxa"/>
            </w:tcMar>
          </w:tcPr>
          <w:p>
            <w:r>
              <w:rPr>
                <w:b/>
                <w:color w:val="FFFFFF"/>
                <w:sz w:val="17"/>
              </w:rPr>
              <w:t>Category</w:t>
            </w:r>
          </w:p>
        </w:tc>
        <w:tc>
          <w:tcPr>
            <w:tcW w:type="dxa" w:w="1728"/>
            <w:shd w:fill="315C46"/>
            <w:vAlign w:val="center"/>
            <w:tcMar>
              <w:top w:w="90" w:type="dxa"/>
              <w:start w:w="110" w:type="dxa"/>
              <w:bottom w:w="90" w:type="dxa"/>
              <w:end w:w="110" w:type="dxa"/>
            </w:tcMar>
          </w:tcPr>
          <w:p>
            <w:r>
              <w:rPr>
                <w:b/>
                <w:color w:val="FFFFFF"/>
                <w:sz w:val="17"/>
              </w:rPr>
              <w:t>Illustrative share</w:t>
            </w:r>
          </w:p>
        </w:tc>
        <w:tc>
          <w:tcPr>
            <w:tcW w:type="dxa" w:w="5328"/>
            <w:shd w:fill="315C46"/>
            <w:vAlign w:val="center"/>
            <w:tcMar>
              <w:top w:w="90" w:type="dxa"/>
              <w:start w:w="110" w:type="dxa"/>
              <w:bottom w:w="90" w:type="dxa"/>
              <w:end w:w="110" w:type="dxa"/>
            </w:tcMar>
          </w:tcPr>
          <w:p>
            <w:r>
              <w:rPr>
                <w:b/>
                <w:color w:val="FFFFFF"/>
                <w:sz w:val="17"/>
              </w:rPr>
              <w:t>Outcome contract</w:t>
            </w:r>
          </w:p>
        </w:tc>
      </w:tr>
      <w:tr>
        <w:trPr>
          <w:cantSplit/>
        </w:trPr>
        <w:tc>
          <w:tcPr>
            <w:tcW w:type="dxa" w:w="3168"/>
            <w:vAlign w:val="center"/>
            <w:tcMar>
              <w:top w:w="90" w:type="dxa"/>
              <w:start w:w="110" w:type="dxa"/>
              <w:bottom w:w="90" w:type="dxa"/>
              <w:end w:w="110" w:type="dxa"/>
            </w:tcMar>
            <w:shd w:fill="EEF2EC"/>
          </w:tcPr>
          <w:p>
            <w:pPr>
              <w:spacing w:after="0"/>
            </w:pPr>
            <w:r>
              <w:rPr>
                <w:rFonts w:ascii="Aptos" w:hAnsi="Aptos"/>
                <w:color w:val="172019"/>
                <w:sz w:val="17"/>
              </w:rPr>
              <w:t>Productivity infrastructure</w:t>
            </w:r>
          </w:p>
        </w:tc>
        <w:tc>
          <w:tcPr>
            <w:tcW w:type="dxa" w:w="1728"/>
            <w:vAlign w:val="center"/>
            <w:tcMar>
              <w:top w:w="90" w:type="dxa"/>
              <w:start w:w="110" w:type="dxa"/>
              <w:bottom w:w="90" w:type="dxa"/>
              <w:end w:w="110" w:type="dxa"/>
            </w:tcMar>
            <w:shd w:fill="EEF2EC"/>
          </w:tcPr>
          <w:p>
            <w:pPr>
              <w:spacing w:after="0"/>
            </w:pPr>
            <w:r>
              <w:rPr>
                <w:rFonts w:ascii="Aptos" w:hAnsi="Aptos"/>
                <w:color w:val="172019"/>
                <w:sz w:val="17"/>
              </w:rPr>
              <w:t>35%</w:t>
            </w:r>
          </w:p>
        </w:tc>
        <w:tc>
          <w:tcPr>
            <w:tcW w:type="dxa" w:w="5328"/>
            <w:vAlign w:val="center"/>
            <w:tcMar>
              <w:top w:w="90" w:type="dxa"/>
              <w:start w:w="110" w:type="dxa"/>
              <w:bottom w:w="90" w:type="dxa"/>
              <w:end w:w="110" w:type="dxa"/>
            </w:tcMar>
            <w:shd w:fill="EEF2EC"/>
          </w:tcPr>
          <w:p>
            <w:pPr>
              <w:spacing w:after="0"/>
            </w:pPr>
            <w:r>
              <w:rPr>
                <w:rFonts w:ascii="Aptos" w:hAnsi="Aptos"/>
                <w:color w:val="172019"/>
                <w:sz w:val="17"/>
              </w:rPr>
              <w:t>Power, transport, digital and maintenance investments tied to reliability and user-cost outcomes</w:t>
            </w:r>
          </w:p>
        </w:tc>
      </w:tr>
      <w:tr>
        <w:trPr>
          <w:cantSplit/>
        </w:trPr>
        <w:tc>
          <w:tcPr>
            <w:tcW w:type="dxa" w:w="3168"/>
            <w:vAlign w:val="center"/>
            <w:tcMar>
              <w:top w:w="90" w:type="dxa"/>
              <w:start w:w="110" w:type="dxa"/>
              <w:bottom w:w="90" w:type="dxa"/>
              <w:end w:w="110" w:type="dxa"/>
            </w:tcMar>
          </w:tcPr>
          <w:p>
            <w:pPr>
              <w:spacing w:after="0"/>
            </w:pPr>
            <w:r>
              <w:rPr>
                <w:rFonts w:ascii="Aptos" w:hAnsi="Aptos"/>
                <w:color w:val="172019"/>
                <w:sz w:val="17"/>
              </w:rPr>
              <w:t>Human capital</w:t>
            </w:r>
          </w:p>
        </w:tc>
        <w:tc>
          <w:tcPr>
            <w:tcW w:type="dxa" w:w="1728"/>
            <w:vAlign w:val="center"/>
            <w:tcMar>
              <w:top w:w="90" w:type="dxa"/>
              <w:start w:w="110" w:type="dxa"/>
              <w:bottom w:w="90" w:type="dxa"/>
              <w:end w:w="110" w:type="dxa"/>
            </w:tcMar>
          </w:tcPr>
          <w:p>
            <w:pPr>
              <w:spacing w:after="0"/>
            </w:pPr>
            <w:r>
              <w:rPr>
                <w:rFonts w:ascii="Aptos" w:hAnsi="Aptos"/>
                <w:color w:val="172019"/>
                <w:sz w:val="17"/>
              </w:rPr>
              <w:t>20%</w:t>
            </w:r>
          </w:p>
        </w:tc>
        <w:tc>
          <w:tcPr>
            <w:tcW w:type="dxa" w:w="5328"/>
            <w:vAlign w:val="center"/>
            <w:tcMar>
              <w:top w:w="90" w:type="dxa"/>
              <w:start w:w="110" w:type="dxa"/>
              <w:bottom w:w="90" w:type="dxa"/>
              <w:end w:w="110" w:type="dxa"/>
            </w:tcMar>
          </w:tcPr>
          <w:p>
            <w:pPr>
              <w:spacing w:after="0"/>
            </w:pPr>
            <w:r>
              <w:rPr>
                <w:rFonts w:ascii="Aptos" w:hAnsi="Aptos"/>
                <w:color w:val="172019"/>
                <w:sz w:val="17"/>
              </w:rPr>
              <w:t>Education, TVET and health programs tied to completion, placement and service outcomes</w:t>
            </w:r>
          </w:p>
        </w:tc>
      </w:tr>
      <w:tr>
        <w:trPr>
          <w:cantSplit/>
        </w:trPr>
        <w:tc>
          <w:tcPr>
            <w:tcW w:type="dxa" w:w="3168"/>
            <w:vAlign w:val="center"/>
            <w:tcMar>
              <w:top w:w="90" w:type="dxa"/>
              <w:start w:w="110" w:type="dxa"/>
              <w:bottom w:w="90" w:type="dxa"/>
              <w:end w:w="110" w:type="dxa"/>
            </w:tcMar>
            <w:shd w:fill="EEF2EC"/>
          </w:tcPr>
          <w:p>
            <w:pPr>
              <w:spacing w:after="0"/>
            </w:pPr>
            <w:r>
              <w:rPr>
                <w:rFonts w:ascii="Aptos" w:hAnsi="Aptos"/>
                <w:color w:val="172019"/>
                <w:sz w:val="17"/>
              </w:rPr>
              <w:t>Diversification and SMEs</w:t>
            </w:r>
          </w:p>
        </w:tc>
        <w:tc>
          <w:tcPr>
            <w:tcW w:type="dxa" w:w="1728"/>
            <w:vAlign w:val="center"/>
            <w:tcMar>
              <w:top w:w="90" w:type="dxa"/>
              <w:start w:w="110" w:type="dxa"/>
              <w:bottom w:w="90" w:type="dxa"/>
              <w:end w:w="110" w:type="dxa"/>
            </w:tcMar>
            <w:shd w:fill="EEF2EC"/>
          </w:tcPr>
          <w:p>
            <w:pPr>
              <w:spacing w:after="0"/>
            </w:pPr>
            <w:r>
              <w:rPr>
                <w:rFonts w:ascii="Aptos" w:hAnsi="Aptos"/>
                <w:color w:val="172019"/>
                <w:sz w:val="17"/>
              </w:rPr>
              <w:t>15%</w:t>
            </w:r>
          </w:p>
        </w:tc>
        <w:tc>
          <w:tcPr>
            <w:tcW w:type="dxa" w:w="5328"/>
            <w:vAlign w:val="center"/>
            <w:tcMar>
              <w:top w:w="90" w:type="dxa"/>
              <w:start w:w="110" w:type="dxa"/>
              <w:bottom w:w="90" w:type="dxa"/>
              <w:end w:w="110" w:type="dxa"/>
            </w:tcMar>
            <w:shd w:fill="EEF2EC"/>
          </w:tcPr>
          <w:p>
            <w:pPr>
              <w:spacing w:after="0"/>
            </w:pPr>
            <w:r>
              <w:rPr>
                <w:rFonts w:ascii="Aptos" w:hAnsi="Aptos"/>
                <w:color w:val="172019"/>
                <w:sz w:val="17"/>
              </w:rPr>
              <w:t>Finance, standards, exports and supplier-upgrading tied to productivity and revenue</w:t>
            </w:r>
          </w:p>
        </w:tc>
      </w:tr>
      <w:tr>
        <w:trPr>
          <w:cantSplit/>
        </w:trPr>
        <w:tc>
          <w:tcPr>
            <w:tcW w:type="dxa" w:w="3168"/>
            <w:vAlign w:val="center"/>
            <w:tcMar>
              <w:top w:w="90" w:type="dxa"/>
              <w:start w:w="110" w:type="dxa"/>
              <w:bottom w:w="90" w:type="dxa"/>
              <w:end w:w="110" w:type="dxa"/>
            </w:tcMar>
          </w:tcPr>
          <w:p>
            <w:pPr>
              <w:spacing w:after="0"/>
            </w:pPr>
            <w:r>
              <w:rPr>
                <w:rFonts w:ascii="Aptos" w:hAnsi="Aptos"/>
                <w:color w:val="172019"/>
                <w:sz w:val="17"/>
              </w:rPr>
              <w:t>Climate resilience</w:t>
            </w:r>
          </w:p>
        </w:tc>
        <w:tc>
          <w:tcPr>
            <w:tcW w:type="dxa" w:w="1728"/>
            <w:vAlign w:val="center"/>
            <w:tcMar>
              <w:top w:w="90" w:type="dxa"/>
              <w:start w:w="110" w:type="dxa"/>
              <w:bottom w:w="90" w:type="dxa"/>
              <w:end w:w="110" w:type="dxa"/>
            </w:tcMar>
          </w:tcPr>
          <w:p>
            <w:pPr>
              <w:spacing w:after="0"/>
            </w:pPr>
            <w:r>
              <w:rPr>
                <w:rFonts w:ascii="Aptos" w:hAnsi="Aptos"/>
                <w:color w:val="172019"/>
                <w:sz w:val="17"/>
              </w:rPr>
              <w:t>12%</w:t>
            </w:r>
          </w:p>
        </w:tc>
        <w:tc>
          <w:tcPr>
            <w:tcW w:type="dxa" w:w="5328"/>
            <w:vAlign w:val="center"/>
            <w:tcMar>
              <w:top w:w="90" w:type="dxa"/>
              <w:start w:w="110" w:type="dxa"/>
              <w:bottom w:w="90" w:type="dxa"/>
              <w:end w:w="110" w:type="dxa"/>
            </w:tcMar>
          </w:tcPr>
          <w:p>
            <w:pPr>
              <w:spacing w:after="0"/>
            </w:pPr>
            <w:r>
              <w:rPr>
                <w:rFonts w:ascii="Aptos" w:hAnsi="Aptos"/>
                <w:color w:val="172019"/>
                <w:sz w:val="17"/>
              </w:rPr>
              <w:t>Coastal and drainage investments tied to people/assets protected and downtime avoided</w:t>
            </w:r>
          </w:p>
        </w:tc>
      </w:tr>
      <w:tr>
        <w:trPr>
          <w:cantSplit/>
        </w:trPr>
        <w:tc>
          <w:tcPr>
            <w:tcW w:type="dxa" w:w="3168"/>
            <w:vAlign w:val="center"/>
            <w:tcMar>
              <w:top w:w="90" w:type="dxa"/>
              <w:start w:w="110" w:type="dxa"/>
              <w:bottom w:w="90" w:type="dxa"/>
              <w:end w:w="110" w:type="dxa"/>
            </w:tcMar>
            <w:shd w:fill="EEF2EC"/>
          </w:tcPr>
          <w:p>
            <w:pPr>
              <w:spacing w:after="0"/>
            </w:pPr>
            <w:r>
              <w:rPr>
                <w:rFonts w:ascii="Aptos" w:hAnsi="Aptos"/>
                <w:color w:val="172019"/>
                <w:sz w:val="17"/>
              </w:rPr>
              <w:t>Institutions and data</w:t>
            </w:r>
          </w:p>
        </w:tc>
        <w:tc>
          <w:tcPr>
            <w:tcW w:type="dxa" w:w="1728"/>
            <w:vAlign w:val="center"/>
            <w:tcMar>
              <w:top w:w="90" w:type="dxa"/>
              <w:start w:w="110" w:type="dxa"/>
              <w:bottom w:w="90" w:type="dxa"/>
              <w:end w:w="110" w:type="dxa"/>
            </w:tcMar>
            <w:shd w:fill="EEF2EC"/>
          </w:tcPr>
          <w:p>
            <w:pPr>
              <w:spacing w:after="0"/>
            </w:pPr>
            <w:r>
              <w:rPr>
                <w:rFonts w:ascii="Aptos" w:hAnsi="Aptos"/>
                <w:color w:val="172019"/>
                <w:sz w:val="17"/>
              </w:rPr>
              <w:t>8%</w:t>
            </w:r>
          </w:p>
        </w:tc>
        <w:tc>
          <w:tcPr>
            <w:tcW w:type="dxa" w:w="5328"/>
            <w:vAlign w:val="center"/>
            <w:tcMar>
              <w:top w:w="90" w:type="dxa"/>
              <w:start w:w="110" w:type="dxa"/>
              <w:bottom w:w="90" w:type="dxa"/>
              <w:end w:w="110" w:type="dxa"/>
            </w:tcMar>
            <w:shd w:fill="EEF2EC"/>
          </w:tcPr>
          <w:p>
            <w:pPr>
              <w:spacing w:after="0"/>
            </w:pPr>
            <w:r>
              <w:rPr>
                <w:rFonts w:ascii="Aptos" w:hAnsi="Aptos"/>
                <w:color w:val="172019"/>
                <w:sz w:val="17"/>
              </w:rPr>
              <w:t>Appraisal, procurement, statistics and transparency tied to timeliness and quality</w:t>
            </w:r>
          </w:p>
        </w:tc>
      </w:tr>
      <w:tr>
        <w:trPr>
          <w:cantSplit/>
        </w:trPr>
        <w:tc>
          <w:tcPr>
            <w:tcW w:type="dxa" w:w="3168"/>
            <w:vAlign w:val="center"/>
            <w:tcMar>
              <w:top w:w="90" w:type="dxa"/>
              <w:start w:w="110" w:type="dxa"/>
              <w:bottom w:w="90" w:type="dxa"/>
              <w:end w:w="110" w:type="dxa"/>
            </w:tcMar>
          </w:tcPr>
          <w:p>
            <w:pPr>
              <w:spacing w:after="0"/>
            </w:pPr>
            <w:r>
              <w:rPr>
                <w:rFonts w:ascii="Aptos" w:hAnsi="Aptos"/>
                <w:color w:val="172019"/>
                <w:sz w:val="17"/>
              </w:rPr>
              <w:t>Transfers / other</w:t>
            </w:r>
          </w:p>
        </w:tc>
        <w:tc>
          <w:tcPr>
            <w:tcW w:type="dxa" w:w="1728"/>
            <w:vAlign w:val="center"/>
            <w:tcMar>
              <w:top w:w="90" w:type="dxa"/>
              <w:start w:w="110" w:type="dxa"/>
              <w:bottom w:w="90" w:type="dxa"/>
              <w:end w:w="110" w:type="dxa"/>
            </w:tcMar>
          </w:tcPr>
          <w:p>
            <w:pPr>
              <w:spacing w:after="0"/>
            </w:pPr>
            <w:r>
              <w:rPr>
                <w:rFonts w:ascii="Aptos" w:hAnsi="Aptos"/>
                <w:color w:val="172019"/>
                <w:sz w:val="17"/>
              </w:rPr>
              <w:t>10%</w:t>
            </w:r>
          </w:p>
        </w:tc>
        <w:tc>
          <w:tcPr>
            <w:tcW w:type="dxa" w:w="5328"/>
            <w:vAlign w:val="center"/>
            <w:tcMar>
              <w:top w:w="90" w:type="dxa"/>
              <w:start w:w="110" w:type="dxa"/>
              <w:bottom w:w="90" w:type="dxa"/>
              <w:end w:w="110" w:type="dxa"/>
            </w:tcMar>
          </w:tcPr>
          <w:p>
            <w:pPr>
              <w:spacing w:after="0"/>
            </w:pPr>
            <w:r>
              <w:rPr>
                <w:rFonts w:ascii="Aptos" w:hAnsi="Aptos"/>
                <w:color w:val="172019"/>
                <w:sz w:val="17"/>
              </w:rPr>
              <w:t>Targeted relief with a stated purpose, beneficiary logic, and review point</w:t>
            </w:r>
          </w:p>
        </w:tc>
      </w:tr>
    </w:tbl>
    <w:p>
      <w:pPr>
        <w:spacing w:after="0"/>
      </w:pPr>
    </w:p>
    <w:p>
      <w:pPr>
        <w:pStyle w:val="Heading2"/>
      </w:pPr>
      <w:r>
        <w:t>Design principles</w:t>
      </w:r>
    </w:p>
    <w:p>
      <w:pPr>
        <w:tabs>
          <w:tab w:pos="432" w:val="left"/>
        </w:tabs>
        <w:ind w:left="432" w:hanging="216"/>
      </w:pPr>
      <w:r>
        <w:t>-</w:t>
        <w:tab/>
        <w:t>Use stage gates before committing full capital: strategic fit, readiness, independent cost estimate, implementation capacity, and measurable benefit.</w:t>
      </w:r>
    </w:p>
    <w:p>
      <w:pPr>
        <w:tabs>
          <w:tab w:pos="432" w:val="left"/>
        </w:tabs>
        <w:ind w:left="432" w:hanging="216"/>
      </w:pPr>
      <w:r>
        <w:t>-</w:t>
        <w:tab/>
        <w:t>Fund maintenance and operating capability alongside construction.</w:t>
      </w:r>
    </w:p>
    <w:p>
      <w:pPr>
        <w:tabs>
          <w:tab w:pos="432" w:val="left"/>
        </w:tabs>
        <w:ind w:left="432" w:hanging="216"/>
      </w:pPr>
      <w:r>
        <w:t>-</w:t>
        <w:tab/>
        <w:t>Track distribution—not only averages—across regions, income groups, gender, age, and hinterland/coastal communities where data permit.</w:t>
      </w:r>
    </w:p>
    <w:p>
      <w:pPr>
        <w:tabs>
          <w:tab w:pos="432" w:val="left"/>
        </w:tabs>
        <w:ind w:left="432" w:hanging="216"/>
      </w:pPr>
      <w:r>
        <w:t>-</w:t>
        <w:tab/>
        <w:t>Publish the difference between spending, outputs, service use, and outcomes.</w:t>
      </w:r>
    </w:p>
    <w:p>
      <w:pPr>
        <w:pStyle w:val="Heading1"/>
      </w:pPr>
      <w:r>
        <w:t>5. Scenario Results</w:t>
      </w:r>
    </w:p>
    <w:tbl>
      <w:tblPr>
        <w:tblW w:type="auto" w:w="0"/>
        <w:jc w:val="center"/>
        <w:tblLayout w:type="fixed"/>
        <w:tblLook w:firstColumn="1" w:firstRow="1" w:lastColumn="0" w:lastRow="0" w:noHBand="0" w:noVBand="1" w:val="04A0"/>
      </w:tblPr>
      <w:tblGrid>
        <w:gridCol w:w="2484"/>
        <w:gridCol w:w="2484"/>
        <w:gridCol w:w="2484"/>
        <w:gridCol w:w="2484"/>
      </w:tblGrid>
      <w:tr>
        <w:trPr>
          <w:cantSplit/>
        </w:trPr>
        <w:tc>
          <w:tcPr>
            <w:tcW w:type="dxa" w:w="2232"/>
            <w:shd w:fill="315C46"/>
            <w:vAlign w:val="center"/>
            <w:tcMar>
              <w:top w:w="90" w:type="dxa"/>
              <w:start w:w="110" w:type="dxa"/>
              <w:bottom w:w="90" w:type="dxa"/>
              <w:end w:w="110" w:type="dxa"/>
            </w:tcMar>
          </w:tcPr>
          <w:p>
            <w:r>
              <w:rPr>
                <w:b/>
                <w:color w:val="FFFFFF"/>
                <w:sz w:val="17"/>
              </w:rPr>
              <w:t>Pathway</w:t>
            </w:r>
          </w:p>
        </w:tc>
        <w:tc>
          <w:tcPr>
            <w:tcW w:type="dxa" w:w="1584"/>
            <w:shd w:fill="315C46"/>
            <w:vAlign w:val="center"/>
            <w:tcMar>
              <w:top w:w="90" w:type="dxa"/>
              <w:start w:w="110" w:type="dxa"/>
              <w:bottom w:w="90" w:type="dxa"/>
              <w:end w:w="110" w:type="dxa"/>
            </w:tcMar>
          </w:tcPr>
          <w:p>
            <w:r>
              <w:rPr>
                <w:b/>
                <w:color w:val="FFFFFF"/>
                <w:sz w:val="17"/>
              </w:rPr>
              <w:t>Withdrawal factor</w:t>
            </w:r>
          </w:p>
        </w:tc>
        <w:tc>
          <w:tcPr>
            <w:tcW w:type="dxa" w:w="3960"/>
            <w:shd w:fill="315C46"/>
            <w:vAlign w:val="center"/>
            <w:tcMar>
              <w:top w:w="90" w:type="dxa"/>
              <w:start w:w="110" w:type="dxa"/>
              <w:bottom w:w="90" w:type="dxa"/>
              <w:end w:w="110" w:type="dxa"/>
            </w:tcMar>
          </w:tcPr>
          <w:p>
            <w:r>
              <w:rPr>
                <w:b/>
                <w:color w:val="FFFFFF"/>
                <w:sz w:val="17"/>
              </w:rPr>
              <w:t>Strategic pattern</w:t>
            </w:r>
          </w:p>
        </w:tc>
        <w:tc>
          <w:tcPr>
            <w:tcW w:type="dxa" w:w="2880"/>
            <w:shd w:fill="315C46"/>
            <w:vAlign w:val="center"/>
            <w:tcMar>
              <w:top w:w="90" w:type="dxa"/>
              <w:start w:w="110" w:type="dxa"/>
              <w:bottom w:w="90" w:type="dxa"/>
              <w:end w:w="110" w:type="dxa"/>
            </w:tcMar>
          </w:tcPr>
          <w:p>
            <w:r>
              <w:rPr>
                <w:b/>
                <w:color w:val="FFFFFF"/>
                <w:sz w:val="17"/>
              </w:rPr>
              <w:t>Recommended use</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Accelerated Spend</w:t>
            </w:r>
          </w:p>
        </w:tc>
        <w:tc>
          <w:tcPr>
            <w:tcW w:type="dxa" w:w="1584"/>
            <w:vAlign w:val="center"/>
            <w:tcMar>
              <w:top w:w="90" w:type="dxa"/>
              <w:start w:w="110" w:type="dxa"/>
              <w:bottom w:w="90" w:type="dxa"/>
              <w:end w:w="110" w:type="dxa"/>
            </w:tcMar>
            <w:shd w:fill="EEF2EC"/>
          </w:tcPr>
          <w:p>
            <w:pPr>
              <w:spacing w:after="0"/>
            </w:pPr>
            <w:r>
              <w:rPr>
                <w:rFonts w:ascii="Aptos" w:hAnsi="Aptos"/>
                <w:color w:val="172019"/>
                <w:sz w:val="17"/>
              </w:rPr>
              <w:t>115%</w:t>
            </w:r>
          </w:p>
        </w:tc>
        <w:tc>
          <w:tcPr>
            <w:tcW w:type="dxa" w:w="3960"/>
            <w:vAlign w:val="center"/>
            <w:tcMar>
              <w:top w:w="90" w:type="dxa"/>
              <w:start w:w="110" w:type="dxa"/>
              <w:bottom w:w="90" w:type="dxa"/>
              <w:end w:w="110" w:type="dxa"/>
            </w:tcMar>
            <w:shd w:fill="EEF2EC"/>
          </w:tcPr>
          <w:p>
            <w:pPr>
              <w:spacing w:after="0"/>
            </w:pPr>
            <w:r>
              <w:rPr>
                <w:rFonts w:ascii="Aptos" w:hAnsi="Aptos"/>
                <w:color w:val="172019"/>
                <w:sz w:val="17"/>
              </w:rPr>
              <w:t>Faster deployment, more transfers, lower buffer</w:t>
            </w:r>
          </w:p>
        </w:tc>
        <w:tc>
          <w:tcPr>
            <w:tcW w:type="dxa" w:w="2880"/>
            <w:vAlign w:val="center"/>
            <w:tcMar>
              <w:top w:w="90" w:type="dxa"/>
              <w:start w:w="110" w:type="dxa"/>
              <w:bottom w:w="90" w:type="dxa"/>
              <w:end w:w="110" w:type="dxa"/>
            </w:tcMar>
            <w:shd w:fill="EEF2EC"/>
          </w:tcPr>
          <w:p>
            <w:pPr>
              <w:spacing w:after="0"/>
            </w:pPr>
            <w:r>
              <w:rPr>
                <w:rFonts w:ascii="Aptos" w:hAnsi="Aptos"/>
                <w:color w:val="172019"/>
                <w:sz w:val="17"/>
              </w:rPr>
              <w:t>Only when delivery capacity and cost controls are demonstrably strong</w:t>
            </w:r>
          </w:p>
        </w:tc>
      </w:tr>
      <w:tr>
        <w:trPr>
          <w:cantSplit/>
        </w:trPr>
        <w:tc>
          <w:tcPr>
            <w:tcW w:type="dxa" w:w="2232"/>
            <w:vAlign w:val="center"/>
            <w:tcMar>
              <w:top w:w="90" w:type="dxa"/>
              <w:start w:w="110" w:type="dxa"/>
              <w:bottom w:w="90" w:type="dxa"/>
              <w:end w:w="110" w:type="dxa"/>
            </w:tcMar>
          </w:tcPr>
          <w:p>
            <w:pPr>
              <w:spacing w:after="0"/>
            </w:pPr>
            <w:r>
              <w:rPr>
                <w:rFonts w:ascii="Aptos" w:hAnsi="Aptos"/>
                <w:color w:val="172019"/>
                <w:sz w:val="17"/>
              </w:rPr>
              <w:t>Balanced Transformation</w:t>
            </w:r>
          </w:p>
        </w:tc>
        <w:tc>
          <w:tcPr>
            <w:tcW w:type="dxa" w:w="1584"/>
            <w:vAlign w:val="center"/>
            <w:tcMar>
              <w:top w:w="90" w:type="dxa"/>
              <w:start w:w="110" w:type="dxa"/>
              <w:bottom w:w="90" w:type="dxa"/>
              <w:end w:w="110" w:type="dxa"/>
            </w:tcMar>
          </w:tcPr>
          <w:p>
            <w:pPr>
              <w:spacing w:after="0"/>
            </w:pPr>
            <w:r>
              <w:rPr>
                <w:rFonts w:ascii="Aptos" w:hAnsi="Aptos"/>
                <w:color w:val="172019"/>
                <w:sz w:val="17"/>
              </w:rPr>
              <w:t>100%</w:t>
            </w:r>
          </w:p>
        </w:tc>
        <w:tc>
          <w:tcPr>
            <w:tcW w:type="dxa" w:w="3960"/>
            <w:vAlign w:val="center"/>
            <w:tcMar>
              <w:top w:w="90" w:type="dxa"/>
              <w:start w:w="110" w:type="dxa"/>
              <w:bottom w:w="90" w:type="dxa"/>
              <w:end w:w="110" w:type="dxa"/>
            </w:tcMar>
          </w:tcPr>
          <w:p>
            <w:pPr>
              <w:spacing w:after="0"/>
            </w:pPr>
            <w:r>
              <w:rPr>
                <w:rFonts w:ascii="Aptos" w:hAnsi="Aptos"/>
                <w:color w:val="172019"/>
                <w:sz w:val="17"/>
              </w:rPr>
              <w:t>Broad capability portfolio with continued NRF accumulation</w:t>
            </w:r>
          </w:p>
        </w:tc>
        <w:tc>
          <w:tcPr>
            <w:tcW w:type="dxa" w:w="2880"/>
            <w:vAlign w:val="center"/>
            <w:tcMar>
              <w:top w:w="90" w:type="dxa"/>
              <w:start w:w="110" w:type="dxa"/>
              <w:bottom w:w="90" w:type="dxa"/>
              <w:end w:w="110" w:type="dxa"/>
            </w:tcMar>
          </w:tcPr>
          <w:p>
            <w:pPr>
              <w:spacing w:after="0"/>
            </w:pPr>
            <w:r>
              <w:rPr>
                <w:rFonts w:ascii="Aptos" w:hAnsi="Aptos"/>
                <w:color w:val="172019"/>
                <w:sz w:val="17"/>
              </w:rPr>
              <w:t>Default pathway</w:t>
            </w:r>
          </w:p>
        </w:tc>
      </w:tr>
      <w:tr>
        <w:trPr>
          <w:cantSplit/>
        </w:trPr>
        <w:tc>
          <w:tcPr>
            <w:tcW w:type="dxa" w:w="2232"/>
            <w:vAlign w:val="center"/>
            <w:tcMar>
              <w:top w:w="90" w:type="dxa"/>
              <w:start w:w="110" w:type="dxa"/>
              <w:bottom w:w="90" w:type="dxa"/>
              <w:end w:w="110" w:type="dxa"/>
            </w:tcMar>
            <w:shd w:fill="EEF2EC"/>
          </w:tcPr>
          <w:p>
            <w:pPr>
              <w:spacing w:after="0"/>
            </w:pPr>
            <w:r>
              <w:rPr>
                <w:rFonts w:ascii="Aptos" w:hAnsi="Aptos"/>
                <w:color w:val="172019"/>
                <w:sz w:val="17"/>
              </w:rPr>
              <w:t>Future-Proof</w:t>
            </w:r>
          </w:p>
        </w:tc>
        <w:tc>
          <w:tcPr>
            <w:tcW w:type="dxa" w:w="1584"/>
            <w:vAlign w:val="center"/>
            <w:tcMar>
              <w:top w:w="90" w:type="dxa"/>
              <w:start w:w="110" w:type="dxa"/>
              <w:bottom w:w="90" w:type="dxa"/>
              <w:end w:w="110" w:type="dxa"/>
            </w:tcMar>
            <w:shd w:fill="EEF2EC"/>
          </w:tcPr>
          <w:p>
            <w:pPr>
              <w:spacing w:after="0"/>
            </w:pPr>
            <w:r>
              <w:rPr>
                <w:rFonts w:ascii="Aptos" w:hAnsi="Aptos"/>
                <w:color w:val="172019"/>
                <w:sz w:val="17"/>
              </w:rPr>
              <w:t>85%</w:t>
            </w:r>
          </w:p>
        </w:tc>
        <w:tc>
          <w:tcPr>
            <w:tcW w:type="dxa" w:w="3960"/>
            <w:vAlign w:val="center"/>
            <w:tcMar>
              <w:top w:w="90" w:type="dxa"/>
              <w:start w:w="110" w:type="dxa"/>
              <w:bottom w:w="90" w:type="dxa"/>
              <w:end w:w="110" w:type="dxa"/>
            </w:tcMar>
            <w:shd w:fill="EEF2EC"/>
          </w:tcPr>
          <w:p>
            <w:pPr>
              <w:spacing w:after="0"/>
            </w:pPr>
            <w:r>
              <w:rPr>
                <w:rFonts w:ascii="Aptos" w:hAnsi="Aptos"/>
                <w:color w:val="172019"/>
                <w:sz w:val="17"/>
              </w:rPr>
              <w:t>Higher human-capital, diversification and climate shares; stronger savings</w:t>
            </w:r>
          </w:p>
        </w:tc>
        <w:tc>
          <w:tcPr>
            <w:tcW w:type="dxa" w:w="2880"/>
            <w:vAlign w:val="center"/>
            <w:tcMar>
              <w:top w:w="90" w:type="dxa"/>
              <w:start w:w="110" w:type="dxa"/>
              <w:bottom w:w="90" w:type="dxa"/>
              <w:end w:w="110" w:type="dxa"/>
            </w:tcMar>
            <w:shd w:fill="EEF2EC"/>
          </w:tcPr>
          <w:p>
            <w:pPr>
              <w:spacing w:after="0"/>
            </w:pPr>
            <w:r>
              <w:rPr>
                <w:rFonts w:ascii="Aptos" w:hAnsi="Aptos"/>
                <w:color w:val="172019"/>
                <w:sz w:val="17"/>
              </w:rPr>
              <w:t>Downside or high-volatility fallback</w:t>
            </w:r>
          </w:p>
        </w:tc>
      </w:tr>
    </w:tbl>
    <w:p>
      <w:pPr>
        <w:spacing w:after="0"/>
      </w:pPr>
    </w:p>
    <w:p>
      <w:r>
        <w:t>In the reference revenue case, the Balanced pathway retains the official projected end-2029 NRF balance of approximately US$11.71 billion in the model. Under a 30% petroleum-revenue downside, the modeled balance falls to roughly US$5.68 billion. The Future-Proof pathway retains approximately US$7.52 billion under the same downside. These results are arithmetic sensitivities based on official petroleum-deposit projections and do not model behavioural, macroeconomic, legal, or market feedback effects.</w:t>
      </w:r>
    </w:p>
    <w:tbl>
      <w:tblPr>
        <w:tblW w:type="auto" w:w="0"/>
        <w:jc w:val="center"/>
        <w:tblLayout w:type="fixed"/>
        <w:tblLook w:firstColumn="1" w:firstRow="1" w:lastColumn="0" w:lastRow="0" w:noHBand="0" w:noVBand="1" w:val="04A0"/>
      </w:tblPr>
      <w:tblGrid>
        <w:gridCol w:w="9936"/>
      </w:tblGrid>
      <w:tr>
        <w:tc>
          <w:tcPr>
            <w:tcW w:type="dxa" w:w="9936"/>
            <w:shd w:fill="F4E7DE"/>
            <w:tcMar>
              <w:top w:w="160" w:type="dxa"/>
              <w:start w:w="180" w:type="dxa"/>
              <w:bottom w:w="160" w:type="dxa"/>
              <w:end w:w="180" w:type="dxa"/>
            </w:tcMar>
          </w:tcPr>
          <w:p>
            <w:r>
              <w:rPr>
                <w:b/>
                <w:color w:val="315C46"/>
                <w:sz w:val="18"/>
              </w:rPr>
              <w:t>DOWNSIDE RULE</w:t>
            </w:r>
          </w:p>
          <w:p>
            <w:r>
              <w:rPr>
                <w:rFonts w:ascii="Georgia" w:hAnsi="Georgia"/>
                <w:b/>
                <w:color w:val="172019"/>
                <w:sz w:val="24"/>
              </w:rPr>
              <w:t>If the rolling two-year petroleum-revenue outlook falls below 80% of the reference path, or committed withdrawals reduce the modeled buffer below US$2 billion, re-sequence new discretionary commitments toward the Future-Proof pathway while protecting high-value projects already underway, human-capital delivery, and essential resilience maintenance.</w:t>
            </w:r>
          </w:p>
        </w:tc>
      </w:tr>
    </w:tbl>
    <w:p>
      <w:pPr>
        <w:pStyle w:val="Heading1"/>
      </w:pPr>
      <w:r>
        <w:t>6. Implementation Roadmap, 2026–2030</w:t>
      </w:r>
    </w:p>
    <w:tbl>
      <w:tblPr>
        <w:tblW w:type="auto" w:w="0"/>
        <w:jc w:val="center"/>
        <w:tblLayout w:type="fixed"/>
        <w:tblLook w:firstColumn="1" w:firstRow="1" w:lastColumn="0" w:lastRow="0" w:noHBand="0" w:noVBand="1" w:val="04A0"/>
      </w:tblPr>
      <w:tblGrid>
        <w:gridCol w:w="1987"/>
        <w:gridCol w:w="1987"/>
        <w:gridCol w:w="1987"/>
        <w:gridCol w:w="1987"/>
        <w:gridCol w:w="1987"/>
      </w:tblGrid>
      <w:tr>
        <w:trPr>
          <w:cantSplit/>
        </w:trPr>
        <w:tc>
          <w:tcPr>
            <w:tcW w:type="dxa" w:w="1872"/>
            <w:shd w:fill="315C46"/>
            <w:vAlign w:val="center"/>
            <w:tcMar>
              <w:top w:w="90" w:type="dxa"/>
              <w:start w:w="110" w:type="dxa"/>
              <w:bottom w:w="90" w:type="dxa"/>
              <w:end w:w="110" w:type="dxa"/>
            </w:tcMar>
          </w:tcPr>
          <w:p>
            <w:r>
              <w:rPr>
                <w:b/>
                <w:color w:val="FFFFFF"/>
                <w:sz w:val="17"/>
              </w:rPr>
              <w:t>Workstream</w:t>
            </w:r>
          </w:p>
        </w:tc>
        <w:tc>
          <w:tcPr>
            <w:tcW w:type="dxa" w:w="2088"/>
            <w:shd w:fill="315C46"/>
            <w:vAlign w:val="center"/>
            <w:tcMar>
              <w:top w:w="90" w:type="dxa"/>
              <w:start w:w="110" w:type="dxa"/>
              <w:bottom w:w="90" w:type="dxa"/>
              <w:end w:w="110" w:type="dxa"/>
            </w:tcMar>
          </w:tcPr>
          <w:p>
            <w:r>
              <w:rPr>
                <w:b/>
                <w:color w:val="FFFFFF"/>
                <w:sz w:val="17"/>
              </w:rPr>
              <w:t>2026</w:t>
            </w:r>
          </w:p>
        </w:tc>
        <w:tc>
          <w:tcPr>
            <w:tcW w:type="dxa" w:w="2088"/>
            <w:shd w:fill="315C46"/>
            <w:vAlign w:val="center"/>
            <w:tcMar>
              <w:top w:w="90" w:type="dxa"/>
              <w:start w:w="110" w:type="dxa"/>
              <w:bottom w:w="90" w:type="dxa"/>
              <w:end w:w="110" w:type="dxa"/>
            </w:tcMar>
          </w:tcPr>
          <w:p>
            <w:r>
              <w:rPr>
                <w:b/>
                <w:color w:val="FFFFFF"/>
                <w:sz w:val="17"/>
              </w:rPr>
              <w:t>2027</w:t>
            </w:r>
          </w:p>
        </w:tc>
        <w:tc>
          <w:tcPr>
            <w:tcW w:type="dxa" w:w="2376"/>
            <w:shd w:fill="315C46"/>
            <w:vAlign w:val="center"/>
            <w:tcMar>
              <w:top w:w="90" w:type="dxa"/>
              <w:start w:w="110" w:type="dxa"/>
              <w:bottom w:w="90" w:type="dxa"/>
              <w:end w:w="110" w:type="dxa"/>
            </w:tcMar>
          </w:tcPr>
          <w:p>
            <w:r>
              <w:rPr>
                <w:b/>
                <w:color w:val="FFFFFF"/>
                <w:sz w:val="17"/>
              </w:rPr>
              <w:t>2028–2029</w:t>
            </w:r>
          </w:p>
        </w:tc>
        <w:tc>
          <w:tcPr>
            <w:tcW w:type="dxa" w:w="2088"/>
            <w:shd w:fill="315C46"/>
            <w:vAlign w:val="center"/>
            <w:tcMar>
              <w:top w:w="90" w:type="dxa"/>
              <w:start w:w="110" w:type="dxa"/>
              <w:bottom w:w="90" w:type="dxa"/>
              <w:end w:w="110" w:type="dxa"/>
            </w:tcMar>
          </w:tcPr>
          <w:p>
            <w:r>
              <w:rPr>
                <w:b/>
                <w:color w:val="FFFFFF"/>
                <w:sz w:val="17"/>
              </w:rPr>
              <w:t>2030 outcome</w:t>
            </w:r>
          </w:p>
        </w:tc>
      </w:tr>
      <w:tr>
        <w:trPr>
          <w:cantSplit/>
        </w:trPr>
        <w:tc>
          <w:tcPr>
            <w:tcW w:type="dxa" w:w="1872"/>
            <w:vAlign w:val="center"/>
            <w:tcMar>
              <w:top w:w="90" w:type="dxa"/>
              <w:start w:w="110" w:type="dxa"/>
              <w:bottom w:w="90" w:type="dxa"/>
              <w:end w:w="110" w:type="dxa"/>
            </w:tcMar>
            <w:shd w:fill="EEF2EC"/>
          </w:tcPr>
          <w:p>
            <w:pPr>
              <w:spacing w:after="0"/>
            </w:pPr>
            <w:r>
              <w:rPr>
                <w:rFonts w:ascii="Aptos" w:hAnsi="Aptos"/>
                <w:color w:val="172019"/>
                <w:sz w:val="17"/>
              </w:rPr>
              <w:t>Commercial platform</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Supplier capability and export-bottleneck map</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Standards, finance and cluster scaling</w:t>
            </w:r>
          </w:p>
        </w:tc>
        <w:tc>
          <w:tcPr>
            <w:tcW w:type="dxa" w:w="2376"/>
            <w:vAlign w:val="center"/>
            <w:tcMar>
              <w:top w:w="90" w:type="dxa"/>
              <w:start w:w="110" w:type="dxa"/>
              <w:bottom w:w="90" w:type="dxa"/>
              <w:end w:w="110" w:type="dxa"/>
            </w:tcMar>
            <w:shd w:fill="EEF2EC"/>
          </w:tcPr>
          <w:p>
            <w:pPr>
              <w:spacing w:after="0"/>
            </w:pPr>
            <w:r>
              <w:rPr>
                <w:rFonts w:ascii="Aptos" w:hAnsi="Aptos"/>
                <w:color w:val="172019"/>
                <w:sz w:val="17"/>
              </w:rPr>
              <w:t>Regional export platforms</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Higher-value non-oil exports</w:t>
            </w:r>
          </w:p>
        </w:tc>
      </w:tr>
      <w:tr>
        <w:trPr>
          <w:cantSplit/>
        </w:trPr>
        <w:tc>
          <w:tcPr>
            <w:tcW w:type="dxa" w:w="1872"/>
            <w:vAlign w:val="center"/>
            <w:tcMar>
              <w:top w:w="90" w:type="dxa"/>
              <w:start w:w="110" w:type="dxa"/>
              <w:bottom w:w="90" w:type="dxa"/>
              <w:end w:w="110" w:type="dxa"/>
            </w:tcMar>
          </w:tcPr>
          <w:p>
            <w:pPr>
              <w:spacing w:after="0"/>
            </w:pPr>
            <w:r>
              <w:rPr>
                <w:rFonts w:ascii="Aptos" w:hAnsi="Aptos"/>
                <w:color w:val="172019"/>
                <w:sz w:val="17"/>
              </w:rPr>
              <w:t>Human capital</w:t>
            </w:r>
          </w:p>
        </w:tc>
        <w:tc>
          <w:tcPr>
            <w:tcW w:type="dxa" w:w="2088"/>
            <w:vAlign w:val="center"/>
            <w:tcMar>
              <w:top w:w="90" w:type="dxa"/>
              <w:start w:w="110" w:type="dxa"/>
              <w:bottom w:w="90" w:type="dxa"/>
              <w:end w:w="110" w:type="dxa"/>
            </w:tcMar>
          </w:tcPr>
          <w:p>
            <w:pPr>
              <w:spacing w:after="0"/>
            </w:pPr>
            <w:r>
              <w:rPr>
                <w:rFonts w:ascii="Aptos" w:hAnsi="Aptos"/>
                <w:color w:val="172019"/>
                <w:sz w:val="17"/>
              </w:rPr>
              <w:t>Critical-skills forecast and curriculum alignment</w:t>
            </w:r>
          </w:p>
        </w:tc>
        <w:tc>
          <w:tcPr>
            <w:tcW w:type="dxa" w:w="2088"/>
            <w:vAlign w:val="center"/>
            <w:tcMar>
              <w:top w:w="90" w:type="dxa"/>
              <w:start w:w="110" w:type="dxa"/>
              <w:bottom w:w="90" w:type="dxa"/>
              <w:end w:w="110" w:type="dxa"/>
            </w:tcMar>
          </w:tcPr>
          <w:p>
            <w:pPr>
              <w:spacing w:after="0"/>
            </w:pPr>
            <w:r>
              <w:rPr>
                <w:rFonts w:ascii="Aptos" w:hAnsi="Aptos"/>
                <w:color w:val="172019"/>
                <w:sz w:val="17"/>
              </w:rPr>
              <w:t>Apprenticeships and industry-linked training</w:t>
            </w:r>
          </w:p>
        </w:tc>
        <w:tc>
          <w:tcPr>
            <w:tcW w:type="dxa" w:w="2376"/>
            <w:vAlign w:val="center"/>
            <w:tcMar>
              <w:top w:w="90" w:type="dxa"/>
              <w:start w:w="110" w:type="dxa"/>
              <w:bottom w:w="90" w:type="dxa"/>
              <w:end w:w="110" w:type="dxa"/>
            </w:tcMar>
          </w:tcPr>
          <w:p>
            <w:pPr>
              <w:spacing w:after="0"/>
            </w:pPr>
            <w:r>
              <w:rPr>
                <w:rFonts w:ascii="Aptos" w:hAnsi="Aptos"/>
                <w:color w:val="172019"/>
                <w:sz w:val="17"/>
              </w:rPr>
              <w:t>Management, engineering, digital and public capability</w:t>
            </w:r>
          </w:p>
        </w:tc>
        <w:tc>
          <w:tcPr>
            <w:tcW w:type="dxa" w:w="2088"/>
            <w:vAlign w:val="center"/>
            <w:tcMar>
              <w:top w:w="90" w:type="dxa"/>
              <w:start w:w="110" w:type="dxa"/>
              <w:bottom w:w="90" w:type="dxa"/>
              <w:end w:w="110" w:type="dxa"/>
            </w:tcMar>
          </w:tcPr>
          <w:p>
            <w:pPr>
              <w:spacing w:after="0"/>
            </w:pPr>
            <w:r>
              <w:rPr>
                <w:rFonts w:ascii="Aptos" w:hAnsi="Aptos"/>
                <w:color w:val="172019"/>
                <w:sz w:val="17"/>
              </w:rPr>
              <w:t>Deeper local technical leadership</w:t>
            </w:r>
          </w:p>
        </w:tc>
      </w:tr>
      <w:tr>
        <w:trPr>
          <w:cantSplit/>
        </w:trPr>
        <w:tc>
          <w:tcPr>
            <w:tcW w:type="dxa" w:w="1872"/>
            <w:vAlign w:val="center"/>
            <w:tcMar>
              <w:top w:w="90" w:type="dxa"/>
              <w:start w:w="110" w:type="dxa"/>
              <w:bottom w:w="90" w:type="dxa"/>
              <w:end w:w="110" w:type="dxa"/>
            </w:tcMar>
            <w:shd w:fill="EEF2EC"/>
          </w:tcPr>
          <w:p>
            <w:pPr>
              <w:spacing w:after="0"/>
            </w:pPr>
            <w:r>
              <w:rPr>
                <w:rFonts w:ascii="Aptos" w:hAnsi="Aptos"/>
                <w:color w:val="172019"/>
                <w:sz w:val="17"/>
              </w:rPr>
              <w:t>Public investment</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Common appraisal and stage-gate standards</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Execute prioritized infrastructure and services</w:t>
            </w:r>
          </w:p>
        </w:tc>
        <w:tc>
          <w:tcPr>
            <w:tcW w:type="dxa" w:w="2376"/>
            <w:vAlign w:val="center"/>
            <w:tcMar>
              <w:top w:w="90" w:type="dxa"/>
              <w:start w:w="110" w:type="dxa"/>
              <w:bottom w:w="90" w:type="dxa"/>
              <w:end w:w="110" w:type="dxa"/>
            </w:tcMar>
            <w:shd w:fill="EEF2EC"/>
          </w:tcPr>
          <w:p>
            <w:pPr>
              <w:spacing w:after="0"/>
            </w:pPr>
            <w:r>
              <w:rPr>
                <w:rFonts w:ascii="Aptos" w:hAnsi="Aptos"/>
                <w:color w:val="172019"/>
                <w:sz w:val="17"/>
              </w:rPr>
              <w:t>Benefits realization and maintenance funding</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Reliable productive assets</w:t>
            </w:r>
          </w:p>
        </w:tc>
      </w:tr>
      <w:tr>
        <w:trPr>
          <w:cantSplit/>
        </w:trPr>
        <w:tc>
          <w:tcPr>
            <w:tcW w:type="dxa" w:w="1872"/>
            <w:vAlign w:val="center"/>
            <w:tcMar>
              <w:top w:w="90" w:type="dxa"/>
              <w:start w:w="110" w:type="dxa"/>
              <w:bottom w:w="90" w:type="dxa"/>
              <w:end w:w="110" w:type="dxa"/>
            </w:tcMar>
          </w:tcPr>
          <w:p>
            <w:pPr>
              <w:spacing w:after="0"/>
            </w:pPr>
            <w:r>
              <w:rPr>
                <w:rFonts w:ascii="Aptos" w:hAnsi="Aptos"/>
                <w:color w:val="172019"/>
                <w:sz w:val="17"/>
              </w:rPr>
              <w:t>Climate resilience</w:t>
            </w:r>
          </w:p>
        </w:tc>
        <w:tc>
          <w:tcPr>
            <w:tcW w:type="dxa" w:w="2088"/>
            <w:vAlign w:val="center"/>
            <w:tcMar>
              <w:top w:w="90" w:type="dxa"/>
              <w:start w:w="110" w:type="dxa"/>
              <w:bottom w:w="90" w:type="dxa"/>
              <w:end w:w="110" w:type="dxa"/>
            </w:tcMar>
          </w:tcPr>
          <w:p>
            <w:pPr>
              <w:spacing w:after="0"/>
            </w:pPr>
            <w:r>
              <w:rPr>
                <w:rFonts w:ascii="Aptos" w:hAnsi="Aptos"/>
                <w:color w:val="172019"/>
                <w:sz w:val="17"/>
              </w:rPr>
              <w:t>Coastal asset-risk register</w:t>
            </w:r>
          </w:p>
        </w:tc>
        <w:tc>
          <w:tcPr>
            <w:tcW w:type="dxa" w:w="2088"/>
            <w:vAlign w:val="center"/>
            <w:tcMar>
              <w:top w:w="90" w:type="dxa"/>
              <w:start w:w="110" w:type="dxa"/>
              <w:bottom w:w="90" w:type="dxa"/>
              <w:end w:w="110" w:type="dxa"/>
            </w:tcMar>
          </w:tcPr>
          <w:p>
            <w:pPr>
              <w:spacing w:after="0"/>
            </w:pPr>
            <w:r>
              <w:rPr>
                <w:rFonts w:ascii="Aptos" w:hAnsi="Aptos"/>
                <w:color w:val="172019"/>
                <w:sz w:val="17"/>
              </w:rPr>
              <w:t>Priority drainage, defence and resilient infrastructure</w:t>
            </w:r>
          </w:p>
        </w:tc>
        <w:tc>
          <w:tcPr>
            <w:tcW w:type="dxa" w:w="2376"/>
            <w:vAlign w:val="center"/>
            <w:tcMar>
              <w:top w:w="90" w:type="dxa"/>
              <w:start w:w="110" w:type="dxa"/>
              <w:bottom w:w="90" w:type="dxa"/>
              <w:end w:w="110" w:type="dxa"/>
            </w:tcMar>
          </w:tcPr>
          <w:p>
            <w:pPr>
              <w:spacing w:after="0"/>
            </w:pPr>
            <w:r>
              <w:rPr>
                <w:rFonts w:ascii="Aptos" w:hAnsi="Aptos"/>
                <w:color w:val="172019"/>
                <w:sz w:val="17"/>
              </w:rPr>
              <w:t>Embed resilience standards across the portfolio</w:t>
            </w:r>
          </w:p>
        </w:tc>
        <w:tc>
          <w:tcPr>
            <w:tcW w:type="dxa" w:w="2088"/>
            <w:vAlign w:val="center"/>
            <w:tcMar>
              <w:top w:w="90" w:type="dxa"/>
              <w:start w:w="110" w:type="dxa"/>
              <w:bottom w:w="90" w:type="dxa"/>
              <w:end w:w="110" w:type="dxa"/>
            </w:tcMar>
          </w:tcPr>
          <w:p>
            <w:pPr>
              <w:spacing w:after="0"/>
            </w:pPr>
            <w:r>
              <w:rPr>
                <w:rFonts w:ascii="Aptos" w:hAnsi="Aptos"/>
                <w:color w:val="172019"/>
                <w:sz w:val="17"/>
              </w:rPr>
              <w:t>Lower disruption and loss exposure</w:t>
            </w:r>
          </w:p>
        </w:tc>
      </w:tr>
      <w:tr>
        <w:trPr>
          <w:cantSplit/>
        </w:trPr>
        <w:tc>
          <w:tcPr>
            <w:tcW w:type="dxa" w:w="1872"/>
            <w:vAlign w:val="center"/>
            <w:tcMar>
              <w:top w:w="90" w:type="dxa"/>
              <w:start w:w="110" w:type="dxa"/>
              <w:bottom w:w="90" w:type="dxa"/>
              <w:end w:w="110" w:type="dxa"/>
            </w:tcMar>
            <w:shd w:fill="EEF2EC"/>
          </w:tcPr>
          <w:p>
            <w:pPr>
              <w:spacing w:after="0"/>
            </w:pPr>
            <w:r>
              <w:rPr>
                <w:rFonts w:ascii="Aptos" w:hAnsi="Aptos"/>
                <w:color w:val="172019"/>
                <w:sz w:val="17"/>
              </w:rPr>
              <w:t>Institutions and data</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Integrated transformation scorecard design</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Open reporting and procurement analytics</w:t>
            </w:r>
          </w:p>
        </w:tc>
        <w:tc>
          <w:tcPr>
            <w:tcW w:type="dxa" w:w="2376"/>
            <w:vAlign w:val="center"/>
            <w:tcMar>
              <w:top w:w="90" w:type="dxa"/>
              <w:start w:w="110" w:type="dxa"/>
              <w:bottom w:w="90" w:type="dxa"/>
              <w:end w:w="110" w:type="dxa"/>
            </w:tcMar>
            <w:shd w:fill="EEF2EC"/>
          </w:tcPr>
          <w:p>
            <w:pPr>
              <w:spacing w:after="0"/>
            </w:pPr>
            <w:r>
              <w:rPr>
                <w:rFonts w:ascii="Aptos" w:hAnsi="Aptos"/>
                <w:color w:val="172019"/>
                <w:sz w:val="17"/>
              </w:rPr>
              <w:t>Independent evaluation and policy learning</w:t>
            </w:r>
          </w:p>
        </w:tc>
        <w:tc>
          <w:tcPr>
            <w:tcW w:type="dxa" w:w="2088"/>
            <w:vAlign w:val="center"/>
            <w:tcMar>
              <w:top w:w="90" w:type="dxa"/>
              <w:start w:w="110" w:type="dxa"/>
              <w:bottom w:w="90" w:type="dxa"/>
              <w:end w:w="110" w:type="dxa"/>
            </w:tcMar>
            <w:shd w:fill="EEF2EC"/>
          </w:tcPr>
          <w:p>
            <w:pPr>
              <w:spacing w:after="0"/>
            </w:pPr>
            <w:r>
              <w:rPr>
                <w:rFonts w:ascii="Aptos" w:hAnsi="Aptos"/>
                <w:color w:val="172019"/>
                <w:sz w:val="17"/>
              </w:rPr>
              <w:t>Trusted adaptive governance</w:t>
            </w:r>
          </w:p>
        </w:tc>
      </w:tr>
    </w:tbl>
    <w:p>
      <w:pPr>
        <w:spacing w:after="0"/>
      </w:pPr>
    </w:p>
    <w:p>
      <w:pPr>
        <w:pStyle w:val="Heading2"/>
      </w:pPr>
      <w:r>
        <w:t>Governance</w:t>
      </w:r>
    </w:p>
    <w:tbl>
      <w:tblPr>
        <w:tblW w:type="auto" w:w="0"/>
        <w:jc w:val="center"/>
        <w:tblLayout w:type="fixed"/>
        <w:tblLook w:firstColumn="1" w:firstRow="1" w:lastColumn="0" w:lastRow="0" w:noHBand="0" w:noVBand="1" w:val="04A0"/>
      </w:tblPr>
      <w:tblGrid>
        <w:gridCol w:w="3312"/>
        <w:gridCol w:w="3312"/>
        <w:gridCol w:w="3312"/>
      </w:tblGrid>
      <w:tr>
        <w:trPr>
          <w:cantSplit/>
        </w:trPr>
        <w:tc>
          <w:tcPr>
            <w:tcW w:type="dxa" w:w="2880"/>
            <w:shd w:fill="315C46"/>
            <w:vAlign w:val="center"/>
            <w:tcMar>
              <w:top w:w="90" w:type="dxa"/>
              <w:start w:w="110" w:type="dxa"/>
              <w:bottom w:w="90" w:type="dxa"/>
              <w:end w:w="110" w:type="dxa"/>
            </w:tcMar>
          </w:tcPr>
          <w:p>
            <w:r>
              <w:rPr>
                <w:b/>
                <w:color w:val="FFFFFF"/>
                <w:sz w:val="17"/>
              </w:rPr>
              <w:t>Actor</w:t>
            </w:r>
          </w:p>
        </w:tc>
        <w:tc>
          <w:tcPr>
            <w:tcW w:type="dxa" w:w="1584"/>
            <w:shd w:fill="315C46"/>
            <w:vAlign w:val="center"/>
            <w:tcMar>
              <w:top w:w="90" w:type="dxa"/>
              <w:start w:w="110" w:type="dxa"/>
              <w:bottom w:w="90" w:type="dxa"/>
              <w:end w:w="110" w:type="dxa"/>
            </w:tcMar>
          </w:tcPr>
          <w:p>
            <w:r>
              <w:rPr>
                <w:b/>
                <w:color w:val="FFFFFF"/>
                <w:sz w:val="17"/>
              </w:rPr>
              <w:t>Role</w:t>
            </w:r>
          </w:p>
        </w:tc>
        <w:tc>
          <w:tcPr>
            <w:tcW w:type="dxa" w:w="6048"/>
            <w:shd w:fill="315C46"/>
            <w:vAlign w:val="center"/>
            <w:tcMar>
              <w:top w:w="90" w:type="dxa"/>
              <w:start w:w="110" w:type="dxa"/>
              <w:bottom w:w="90" w:type="dxa"/>
              <w:end w:w="110" w:type="dxa"/>
            </w:tcMar>
          </w:tcPr>
          <w:p>
            <w:r>
              <w:rPr>
                <w:b/>
                <w:color w:val="FFFFFF"/>
                <w:sz w:val="17"/>
              </w:rPr>
              <w:t>Core responsibility</w:t>
            </w:r>
          </w:p>
        </w:tc>
      </w:tr>
      <w:tr>
        <w:trPr>
          <w:cantSplit/>
        </w:trPr>
        <w:tc>
          <w:tcPr>
            <w:tcW w:type="dxa" w:w="2880"/>
            <w:vAlign w:val="center"/>
            <w:tcMar>
              <w:top w:w="90" w:type="dxa"/>
              <w:start w:w="110" w:type="dxa"/>
              <w:bottom w:w="90" w:type="dxa"/>
              <w:end w:w="110" w:type="dxa"/>
            </w:tcMar>
            <w:shd w:fill="EEF2EC"/>
          </w:tcPr>
          <w:p>
            <w:pPr>
              <w:spacing w:after="0"/>
            </w:pPr>
            <w:r>
              <w:rPr>
                <w:rFonts w:ascii="Aptos" w:hAnsi="Aptos"/>
                <w:color w:val="172019"/>
                <w:sz w:val="17"/>
              </w:rPr>
              <w:t>National Transformation Council</w:t>
            </w:r>
          </w:p>
        </w:tc>
        <w:tc>
          <w:tcPr>
            <w:tcW w:type="dxa" w:w="1584"/>
            <w:vAlign w:val="center"/>
            <w:tcMar>
              <w:top w:w="90" w:type="dxa"/>
              <w:start w:w="110" w:type="dxa"/>
              <w:bottom w:w="90" w:type="dxa"/>
              <w:end w:w="110" w:type="dxa"/>
            </w:tcMar>
            <w:shd w:fill="EEF2EC"/>
          </w:tcPr>
          <w:p>
            <w:pPr>
              <w:spacing w:after="0"/>
            </w:pPr>
            <w:r>
              <w:rPr>
                <w:rFonts w:ascii="Aptos" w:hAnsi="Aptos"/>
                <w:color w:val="172019"/>
                <w:sz w:val="17"/>
              </w:rPr>
              <w:t>Accountable</w:t>
            </w:r>
          </w:p>
        </w:tc>
        <w:tc>
          <w:tcPr>
            <w:tcW w:type="dxa" w:w="6048"/>
            <w:vAlign w:val="center"/>
            <w:tcMar>
              <w:top w:w="90" w:type="dxa"/>
              <w:start w:w="110" w:type="dxa"/>
              <w:bottom w:w="90" w:type="dxa"/>
              <w:end w:w="110" w:type="dxa"/>
            </w:tcMar>
            <w:shd w:fill="EEF2EC"/>
          </w:tcPr>
          <w:p>
            <w:pPr>
              <w:spacing w:after="0"/>
            </w:pPr>
            <w:r>
              <w:rPr>
                <w:rFonts w:ascii="Aptos" w:hAnsi="Aptos"/>
                <w:color w:val="172019"/>
                <w:sz w:val="17"/>
              </w:rPr>
              <w:t>Set outcomes, fiscal guardrails, and portfolio trade-offs</w:t>
            </w:r>
          </w:p>
        </w:tc>
      </w:tr>
      <w:tr>
        <w:trPr>
          <w:cantSplit/>
        </w:trPr>
        <w:tc>
          <w:tcPr>
            <w:tcW w:type="dxa" w:w="2880"/>
            <w:vAlign w:val="center"/>
            <w:tcMar>
              <w:top w:w="90" w:type="dxa"/>
              <w:start w:w="110" w:type="dxa"/>
              <w:bottom w:w="90" w:type="dxa"/>
              <w:end w:w="110" w:type="dxa"/>
            </w:tcMar>
          </w:tcPr>
          <w:p>
            <w:pPr>
              <w:spacing w:after="0"/>
            </w:pPr>
            <w:r>
              <w:rPr>
                <w:rFonts w:ascii="Aptos" w:hAnsi="Aptos"/>
                <w:color w:val="172019"/>
                <w:sz w:val="17"/>
              </w:rPr>
              <w:t>Portfolio Delivery Office</w:t>
            </w:r>
          </w:p>
        </w:tc>
        <w:tc>
          <w:tcPr>
            <w:tcW w:type="dxa" w:w="1584"/>
            <w:vAlign w:val="center"/>
            <w:tcMar>
              <w:top w:w="90" w:type="dxa"/>
              <w:start w:w="110" w:type="dxa"/>
              <w:bottom w:w="90" w:type="dxa"/>
              <w:end w:w="110" w:type="dxa"/>
            </w:tcMar>
          </w:tcPr>
          <w:p>
            <w:pPr>
              <w:spacing w:after="0"/>
            </w:pPr>
            <w:r>
              <w:rPr>
                <w:rFonts w:ascii="Aptos" w:hAnsi="Aptos"/>
                <w:color w:val="172019"/>
                <w:sz w:val="17"/>
              </w:rPr>
              <w:t>Responsible</w:t>
            </w:r>
          </w:p>
        </w:tc>
        <w:tc>
          <w:tcPr>
            <w:tcW w:type="dxa" w:w="6048"/>
            <w:vAlign w:val="center"/>
            <w:tcMar>
              <w:top w:w="90" w:type="dxa"/>
              <w:start w:w="110" w:type="dxa"/>
              <w:bottom w:w="90" w:type="dxa"/>
              <w:end w:w="110" w:type="dxa"/>
            </w:tcMar>
          </w:tcPr>
          <w:p>
            <w:pPr>
              <w:spacing w:after="0"/>
            </w:pPr>
            <w:r>
              <w:rPr>
                <w:rFonts w:ascii="Aptos" w:hAnsi="Aptos"/>
                <w:color w:val="172019"/>
                <w:sz w:val="17"/>
              </w:rPr>
              <w:t>Run stage gates, roadmap integration, risk and benefits realization</w:t>
            </w:r>
          </w:p>
        </w:tc>
      </w:tr>
      <w:tr>
        <w:trPr>
          <w:cantSplit/>
        </w:trPr>
        <w:tc>
          <w:tcPr>
            <w:tcW w:type="dxa" w:w="2880"/>
            <w:vAlign w:val="center"/>
            <w:tcMar>
              <w:top w:w="90" w:type="dxa"/>
              <w:start w:w="110" w:type="dxa"/>
              <w:bottom w:w="90" w:type="dxa"/>
              <w:end w:w="110" w:type="dxa"/>
            </w:tcMar>
            <w:shd w:fill="EEF2EC"/>
          </w:tcPr>
          <w:p>
            <w:pPr>
              <w:spacing w:after="0"/>
            </w:pPr>
            <w:r>
              <w:rPr>
                <w:rFonts w:ascii="Aptos" w:hAnsi="Aptos"/>
                <w:color w:val="172019"/>
                <w:sz w:val="17"/>
              </w:rPr>
              <w:t>Finance / NRF governance</w:t>
            </w:r>
          </w:p>
        </w:tc>
        <w:tc>
          <w:tcPr>
            <w:tcW w:type="dxa" w:w="1584"/>
            <w:vAlign w:val="center"/>
            <w:tcMar>
              <w:top w:w="90" w:type="dxa"/>
              <w:start w:w="110" w:type="dxa"/>
              <w:bottom w:w="90" w:type="dxa"/>
              <w:end w:w="110" w:type="dxa"/>
            </w:tcMar>
            <w:shd w:fill="EEF2EC"/>
          </w:tcPr>
          <w:p>
            <w:pPr>
              <w:spacing w:after="0"/>
            </w:pPr>
            <w:r>
              <w:rPr>
                <w:rFonts w:ascii="Aptos" w:hAnsi="Aptos"/>
                <w:color w:val="172019"/>
                <w:sz w:val="17"/>
              </w:rPr>
              <w:t>Responsible</w:t>
            </w:r>
          </w:p>
        </w:tc>
        <w:tc>
          <w:tcPr>
            <w:tcW w:type="dxa" w:w="6048"/>
            <w:vAlign w:val="center"/>
            <w:tcMar>
              <w:top w:w="90" w:type="dxa"/>
              <w:start w:w="110" w:type="dxa"/>
              <w:bottom w:w="90" w:type="dxa"/>
              <w:end w:w="110" w:type="dxa"/>
            </w:tcMar>
            <w:shd w:fill="EEF2EC"/>
          </w:tcPr>
          <w:p>
            <w:pPr>
              <w:spacing w:after="0"/>
            </w:pPr>
            <w:r>
              <w:rPr>
                <w:rFonts w:ascii="Aptos" w:hAnsi="Aptos"/>
                <w:color w:val="172019"/>
                <w:sz w:val="17"/>
              </w:rPr>
              <w:t>Maintain fiscal path, scenario updates, buffer controls and disclosure</w:t>
            </w:r>
          </w:p>
        </w:tc>
      </w:tr>
      <w:tr>
        <w:trPr>
          <w:cantSplit/>
        </w:trPr>
        <w:tc>
          <w:tcPr>
            <w:tcW w:type="dxa" w:w="2880"/>
            <w:vAlign w:val="center"/>
            <w:tcMar>
              <w:top w:w="90" w:type="dxa"/>
              <w:start w:w="110" w:type="dxa"/>
              <w:bottom w:w="90" w:type="dxa"/>
              <w:end w:w="110" w:type="dxa"/>
            </w:tcMar>
          </w:tcPr>
          <w:p>
            <w:pPr>
              <w:spacing w:after="0"/>
            </w:pPr>
            <w:r>
              <w:rPr>
                <w:rFonts w:ascii="Aptos" w:hAnsi="Aptos"/>
                <w:color w:val="172019"/>
                <w:sz w:val="17"/>
              </w:rPr>
              <w:t>Sector ministries and agencies</w:t>
            </w:r>
          </w:p>
        </w:tc>
        <w:tc>
          <w:tcPr>
            <w:tcW w:type="dxa" w:w="1584"/>
            <w:vAlign w:val="center"/>
            <w:tcMar>
              <w:top w:w="90" w:type="dxa"/>
              <w:start w:w="110" w:type="dxa"/>
              <w:bottom w:w="90" w:type="dxa"/>
              <w:end w:w="110" w:type="dxa"/>
            </w:tcMar>
          </w:tcPr>
          <w:p>
            <w:pPr>
              <w:spacing w:after="0"/>
            </w:pPr>
            <w:r>
              <w:rPr>
                <w:rFonts w:ascii="Aptos" w:hAnsi="Aptos"/>
                <w:color w:val="172019"/>
                <w:sz w:val="17"/>
              </w:rPr>
              <w:t>Responsible</w:t>
            </w:r>
          </w:p>
        </w:tc>
        <w:tc>
          <w:tcPr>
            <w:tcW w:type="dxa" w:w="6048"/>
            <w:vAlign w:val="center"/>
            <w:tcMar>
              <w:top w:w="90" w:type="dxa"/>
              <w:start w:w="110" w:type="dxa"/>
              <w:bottom w:w="90" w:type="dxa"/>
              <w:end w:w="110" w:type="dxa"/>
            </w:tcMar>
          </w:tcPr>
          <w:p>
            <w:pPr>
              <w:spacing w:after="0"/>
            </w:pPr>
            <w:r>
              <w:rPr>
                <w:rFonts w:ascii="Aptos" w:hAnsi="Aptos"/>
                <w:color w:val="172019"/>
                <w:sz w:val="17"/>
              </w:rPr>
              <w:t>Deliver projects and services; fund operations and maintenance</w:t>
            </w:r>
          </w:p>
        </w:tc>
      </w:tr>
      <w:tr>
        <w:trPr>
          <w:cantSplit/>
        </w:trPr>
        <w:tc>
          <w:tcPr>
            <w:tcW w:type="dxa" w:w="2880"/>
            <w:vAlign w:val="center"/>
            <w:tcMar>
              <w:top w:w="90" w:type="dxa"/>
              <w:start w:w="110" w:type="dxa"/>
              <w:bottom w:w="90" w:type="dxa"/>
              <w:end w:w="110" w:type="dxa"/>
            </w:tcMar>
            <w:shd w:fill="EEF2EC"/>
          </w:tcPr>
          <w:p>
            <w:pPr>
              <w:spacing w:after="0"/>
            </w:pPr>
            <w:r>
              <w:rPr>
                <w:rFonts w:ascii="Aptos" w:hAnsi="Aptos"/>
                <w:color w:val="172019"/>
                <w:sz w:val="17"/>
              </w:rPr>
              <w:t>Private sector, labour and communities</w:t>
            </w:r>
          </w:p>
        </w:tc>
        <w:tc>
          <w:tcPr>
            <w:tcW w:type="dxa" w:w="1584"/>
            <w:vAlign w:val="center"/>
            <w:tcMar>
              <w:top w:w="90" w:type="dxa"/>
              <w:start w:w="110" w:type="dxa"/>
              <w:bottom w:w="90" w:type="dxa"/>
              <w:end w:w="110" w:type="dxa"/>
            </w:tcMar>
            <w:shd w:fill="EEF2EC"/>
          </w:tcPr>
          <w:p>
            <w:pPr>
              <w:spacing w:after="0"/>
            </w:pPr>
            <w:r>
              <w:rPr>
                <w:rFonts w:ascii="Aptos" w:hAnsi="Aptos"/>
                <w:color w:val="172019"/>
                <w:sz w:val="17"/>
              </w:rPr>
              <w:t>Consulted</w:t>
            </w:r>
          </w:p>
        </w:tc>
        <w:tc>
          <w:tcPr>
            <w:tcW w:type="dxa" w:w="6048"/>
            <w:vAlign w:val="center"/>
            <w:tcMar>
              <w:top w:w="90" w:type="dxa"/>
              <w:start w:w="110" w:type="dxa"/>
              <w:bottom w:w="90" w:type="dxa"/>
              <w:end w:w="110" w:type="dxa"/>
            </w:tcMar>
            <w:shd w:fill="EEF2EC"/>
          </w:tcPr>
          <w:p>
            <w:pPr>
              <w:spacing w:after="0"/>
            </w:pPr>
            <w:r>
              <w:rPr>
                <w:rFonts w:ascii="Aptos" w:hAnsi="Aptos"/>
                <w:color w:val="172019"/>
                <w:sz w:val="17"/>
              </w:rPr>
              <w:t>Define capability needs and provide implementation feedback</w:t>
            </w:r>
          </w:p>
        </w:tc>
      </w:tr>
      <w:tr>
        <w:trPr>
          <w:cantSplit/>
        </w:trPr>
        <w:tc>
          <w:tcPr>
            <w:tcW w:type="dxa" w:w="2880"/>
            <w:vAlign w:val="center"/>
            <w:tcMar>
              <w:top w:w="90" w:type="dxa"/>
              <w:start w:w="110" w:type="dxa"/>
              <w:bottom w:w="90" w:type="dxa"/>
              <w:end w:w="110" w:type="dxa"/>
            </w:tcMar>
          </w:tcPr>
          <w:p>
            <w:pPr>
              <w:spacing w:after="0"/>
            </w:pPr>
            <w:r>
              <w:rPr>
                <w:rFonts w:ascii="Aptos" w:hAnsi="Aptos"/>
                <w:color w:val="172019"/>
                <w:sz w:val="17"/>
              </w:rPr>
              <w:t>Audit, EITI and civil society</w:t>
            </w:r>
          </w:p>
        </w:tc>
        <w:tc>
          <w:tcPr>
            <w:tcW w:type="dxa" w:w="1584"/>
            <w:vAlign w:val="center"/>
            <w:tcMar>
              <w:top w:w="90" w:type="dxa"/>
              <w:start w:w="110" w:type="dxa"/>
              <w:bottom w:w="90" w:type="dxa"/>
              <w:end w:w="110" w:type="dxa"/>
            </w:tcMar>
          </w:tcPr>
          <w:p>
            <w:pPr>
              <w:spacing w:after="0"/>
            </w:pPr>
            <w:r>
              <w:rPr>
                <w:rFonts w:ascii="Aptos" w:hAnsi="Aptos"/>
                <w:color w:val="172019"/>
                <w:sz w:val="17"/>
              </w:rPr>
              <w:t>Assurance</w:t>
            </w:r>
          </w:p>
        </w:tc>
        <w:tc>
          <w:tcPr>
            <w:tcW w:type="dxa" w:w="6048"/>
            <w:vAlign w:val="center"/>
            <w:tcMar>
              <w:top w:w="90" w:type="dxa"/>
              <w:start w:w="110" w:type="dxa"/>
              <w:bottom w:w="90" w:type="dxa"/>
              <w:end w:w="110" w:type="dxa"/>
            </w:tcMar>
          </w:tcPr>
          <w:p>
            <w:pPr>
              <w:spacing w:after="0"/>
            </w:pPr>
            <w:r>
              <w:rPr>
                <w:rFonts w:ascii="Aptos" w:hAnsi="Aptos"/>
                <w:color w:val="172019"/>
                <w:sz w:val="17"/>
              </w:rPr>
              <w:t>Independent transparency, challenge and follow-up</w:t>
            </w:r>
          </w:p>
        </w:tc>
      </w:tr>
    </w:tbl>
    <w:p>
      <w:pPr>
        <w:spacing w:after="0"/>
      </w:pPr>
    </w:p>
    <w:p>
      <w:pPr>
        <w:pStyle w:val="Heading1"/>
      </w:pPr>
      <w:r>
        <w:t>7. Risk Register and Control Plan</w:t>
      </w:r>
    </w:p>
    <w:tbl>
      <w:tblPr>
        <w:tblW w:type="auto" w:w="0"/>
        <w:jc w:val="center"/>
        <w:tblLayout w:type="fixed"/>
        <w:tblLook w:firstColumn="1" w:firstRow="1" w:lastColumn="0" w:lastRow="0" w:noHBand="0" w:noVBand="1" w:val="04A0"/>
      </w:tblPr>
      <w:tblGrid>
        <w:gridCol w:w="3312"/>
        <w:gridCol w:w="3312"/>
        <w:gridCol w:w="3312"/>
      </w:tblGrid>
      <w:tr>
        <w:trPr>
          <w:cantSplit/>
        </w:trPr>
        <w:tc>
          <w:tcPr>
            <w:tcW w:type="dxa" w:w="2664"/>
            <w:shd w:fill="315C46"/>
            <w:vAlign w:val="center"/>
            <w:tcMar>
              <w:top w:w="90" w:type="dxa"/>
              <w:start w:w="110" w:type="dxa"/>
              <w:bottom w:w="90" w:type="dxa"/>
              <w:end w:w="110" w:type="dxa"/>
            </w:tcMar>
          </w:tcPr>
          <w:p>
            <w:r>
              <w:rPr>
                <w:b/>
                <w:color w:val="FFFFFF"/>
                <w:sz w:val="17"/>
              </w:rPr>
              <w:t>Risk</w:t>
            </w:r>
          </w:p>
        </w:tc>
        <w:tc>
          <w:tcPr>
            <w:tcW w:type="dxa" w:w="3312"/>
            <w:shd w:fill="315C46"/>
            <w:vAlign w:val="center"/>
            <w:tcMar>
              <w:top w:w="90" w:type="dxa"/>
              <w:start w:w="110" w:type="dxa"/>
              <w:bottom w:w="90" w:type="dxa"/>
              <w:end w:w="110" w:type="dxa"/>
            </w:tcMar>
          </w:tcPr>
          <w:p>
            <w:r>
              <w:rPr>
                <w:b/>
                <w:color w:val="FFFFFF"/>
                <w:sz w:val="17"/>
              </w:rPr>
              <w:t>Leading signal</w:t>
            </w:r>
          </w:p>
        </w:tc>
        <w:tc>
          <w:tcPr>
            <w:tcW w:type="dxa" w:w="4536"/>
            <w:shd w:fill="315C46"/>
            <w:vAlign w:val="center"/>
            <w:tcMar>
              <w:top w:w="90" w:type="dxa"/>
              <w:start w:w="110" w:type="dxa"/>
              <w:bottom w:w="90" w:type="dxa"/>
              <w:end w:w="110" w:type="dxa"/>
            </w:tcMar>
          </w:tcPr>
          <w:p>
            <w:r>
              <w:rPr>
                <w:b/>
                <w:color w:val="FFFFFF"/>
                <w:sz w:val="17"/>
              </w:rPr>
              <w:t>Mitigation / response</w:t>
            </w:r>
          </w:p>
        </w:tc>
      </w:tr>
      <w:tr>
        <w:trPr>
          <w:cantSplit/>
        </w:trPr>
        <w:tc>
          <w:tcPr>
            <w:tcW w:type="dxa" w:w="2664"/>
            <w:vAlign w:val="center"/>
            <w:tcMar>
              <w:top w:w="90" w:type="dxa"/>
              <w:start w:w="110" w:type="dxa"/>
              <w:bottom w:w="90" w:type="dxa"/>
              <w:end w:w="110" w:type="dxa"/>
            </w:tcMar>
            <w:shd w:fill="EEF2EC"/>
          </w:tcPr>
          <w:p>
            <w:pPr>
              <w:spacing w:after="0"/>
            </w:pPr>
            <w:r>
              <w:rPr>
                <w:rFonts w:ascii="Aptos" w:hAnsi="Aptos"/>
                <w:color w:val="172019"/>
                <w:sz w:val="17"/>
              </w:rPr>
              <w:t>Oil-price and receipt downside</w:t>
            </w:r>
          </w:p>
        </w:tc>
        <w:tc>
          <w:tcPr>
            <w:tcW w:type="dxa" w:w="3312"/>
            <w:vAlign w:val="center"/>
            <w:tcMar>
              <w:top w:w="90" w:type="dxa"/>
              <w:start w:w="110" w:type="dxa"/>
              <w:bottom w:w="90" w:type="dxa"/>
              <w:end w:w="110" w:type="dxa"/>
            </w:tcMar>
            <w:shd w:fill="EEF2EC"/>
          </w:tcPr>
          <w:p>
            <w:pPr>
              <w:spacing w:after="0"/>
            </w:pPr>
            <w:r>
              <w:rPr>
                <w:rFonts w:ascii="Aptos" w:hAnsi="Aptos"/>
                <w:color w:val="172019"/>
                <w:sz w:val="17"/>
              </w:rPr>
              <w:t>Rolling revenue outlook and NRF buffer</w:t>
            </w:r>
          </w:p>
        </w:tc>
        <w:tc>
          <w:tcPr>
            <w:tcW w:type="dxa" w:w="4536"/>
            <w:vAlign w:val="center"/>
            <w:tcMar>
              <w:top w:w="90" w:type="dxa"/>
              <w:start w:w="110" w:type="dxa"/>
              <w:bottom w:w="90" w:type="dxa"/>
              <w:end w:w="110" w:type="dxa"/>
            </w:tcMar>
            <w:shd w:fill="EEF2EC"/>
          </w:tcPr>
          <w:p>
            <w:pPr>
              <w:spacing w:after="0"/>
            </w:pPr>
            <w:r>
              <w:rPr>
                <w:rFonts w:ascii="Aptos" w:hAnsi="Aptos"/>
                <w:color w:val="172019"/>
                <w:sz w:val="17"/>
              </w:rPr>
              <w:t>Activate pathway trigger; preserve buffer; stage commitments</w:t>
            </w:r>
          </w:p>
        </w:tc>
      </w:tr>
      <w:tr>
        <w:trPr>
          <w:cantSplit/>
        </w:trPr>
        <w:tc>
          <w:tcPr>
            <w:tcW w:type="dxa" w:w="2664"/>
            <w:vAlign w:val="center"/>
            <w:tcMar>
              <w:top w:w="90" w:type="dxa"/>
              <w:start w:w="110" w:type="dxa"/>
              <w:bottom w:w="90" w:type="dxa"/>
              <w:end w:w="110" w:type="dxa"/>
            </w:tcMar>
          </w:tcPr>
          <w:p>
            <w:pPr>
              <w:spacing w:after="0"/>
            </w:pPr>
            <w:r>
              <w:rPr>
                <w:rFonts w:ascii="Aptos" w:hAnsi="Aptos"/>
                <w:color w:val="172019"/>
                <w:sz w:val="17"/>
              </w:rPr>
              <w:t>Execution capacity and cost inflation</w:t>
            </w:r>
          </w:p>
        </w:tc>
        <w:tc>
          <w:tcPr>
            <w:tcW w:type="dxa" w:w="3312"/>
            <w:vAlign w:val="center"/>
            <w:tcMar>
              <w:top w:w="90" w:type="dxa"/>
              <w:start w:w="110" w:type="dxa"/>
              <w:bottom w:w="90" w:type="dxa"/>
              <w:end w:w="110" w:type="dxa"/>
            </w:tcMar>
          </w:tcPr>
          <w:p>
            <w:pPr>
              <w:spacing w:after="0"/>
            </w:pPr>
            <w:r>
              <w:rPr>
                <w:rFonts w:ascii="Aptos" w:hAnsi="Aptos"/>
                <w:color w:val="172019"/>
                <w:sz w:val="17"/>
              </w:rPr>
              <w:t>Bid inflation, delays, change orders, vacancy rates</w:t>
            </w:r>
          </w:p>
        </w:tc>
        <w:tc>
          <w:tcPr>
            <w:tcW w:type="dxa" w:w="4536"/>
            <w:vAlign w:val="center"/>
            <w:tcMar>
              <w:top w:w="90" w:type="dxa"/>
              <w:start w:w="110" w:type="dxa"/>
              <w:bottom w:w="90" w:type="dxa"/>
              <w:end w:w="110" w:type="dxa"/>
            </w:tcMar>
          </w:tcPr>
          <w:p>
            <w:pPr>
              <w:spacing w:after="0"/>
            </w:pPr>
            <w:r>
              <w:rPr>
                <w:rFonts w:ascii="Aptos" w:hAnsi="Aptos"/>
                <w:color w:val="172019"/>
                <w:sz w:val="17"/>
              </w:rPr>
              <w:t>Readiness gates, independent estimates, delivery support and re-sequencing</w:t>
            </w:r>
          </w:p>
        </w:tc>
      </w:tr>
      <w:tr>
        <w:trPr>
          <w:cantSplit/>
        </w:trPr>
        <w:tc>
          <w:tcPr>
            <w:tcW w:type="dxa" w:w="2664"/>
            <w:vAlign w:val="center"/>
            <w:tcMar>
              <w:top w:w="90" w:type="dxa"/>
              <w:start w:w="110" w:type="dxa"/>
              <w:bottom w:w="90" w:type="dxa"/>
              <w:end w:w="110" w:type="dxa"/>
            </w:tcMar>
            <w:shd w:fill="EEF2EC"/>
          </w:tcPr>
          <w:p>
            <w:pPr>
              <w:spacing w:after="0"/>
            </w:pPr>
            <w:r>
              <w:rPr>
                <w:rFonts w:ascii="Aptos" w:hAnsi="Aptos"/>
                <w:color w:val="172019"/>
                <w:sz w:val="17"/>
              </w:rPr>
              <w:t>Dutch disease and weak competitiveness</w:t>
            </w:r>
          </w:p>
        </w:tc>
        <w:tc>
          <w:tcPr>
            <w:tcW w:type="dxa" w:w="3312"/>
            <w:vAlign w:val="center"/>
            <w:tcMar>
              <w:top w:w="90" w:type="dxa"/>
              <w:start w:w="110" w:type="dxa"/>
              <w:bottom w:w="90" w:type="dxa"/>
              <w:end w:w="110" w:type="dxa"/>
            </w:tcMar>
            <w:shd w:fill="EEF2EC"/>
          </w:tcPr>
          <w:p>
            <w:pPr>
              <w:spacing w:after="0"/>
            </w:pPr>
            <w:r>
              <w:rPr>
                <w:rFonts w:ascii="Aptos" w:hAnsi="Aptos"/>
                <w:color w:val="172019"/>
                <w:sz w:val="17"/>
              </w:rPr>
              <w:t>Non-oil export share, unit costs, real exchange-rate pressure</w:t>
            </w:r>
          </w:p>
        </w:tc>
        <w:tc>
          <w:tcPr>
            <w:tcW w:type="dxa" w:w="4536"/>
            <w:vAlign w:val="center"/>
            <w:tcMar>
              <w:top w:w="90" w:type="dxa"/>
              <w:start w:w="110" w:type="dxa"/>
              <w:bottom w:w="90" w:type="dxa"/>
              <w:end w:w="110" w:type="dxa"/>
            </w:tcMar>
            <w:shd w:fill="EEF2EC"/>
          </w:tcPr>
          <w:p>
            <w:pPr>
              <w:spacing w:after="0"/>
            </w:pPr>
            <w:r>
              <w:rPr>
                <w:rFonts w:ascii="Aptos" w:hAnsi="Aptos"/>
                <w:color w:val="172019"/>
                <w:sz w:val="17"/>
              </w:rPr>
              <w:t>Productivity and export agenda; sequence domestic demand</w:t>
            </w:r>
          </w:p>
        </w:tc>
      </w:tr>
      <w:tr>
        <w:trPr>
          <w:cantSplit/>
        </w:trPr>
        <w:tc>
          <w:tcPr>
            <w:tcW w:type="dxa" w:w="2664"/>
            <w:vAlign w:val="center"/>
            <w:tcMar>
              <w:top w:w="90" w:type="dxa"/>
              <w:start w:w="110" w:type="dxa"/>
              <w:bottom w:w="90" w:type="dxa"/>
              <w:end w:w="110" w:type="dxa"/>
            </w:tcMar>
          </w:tcPr>
          <w:p>
            <w:pPr>
              <w:spacing w:after="0"/>
            </w:pPr>
            <w:r>
              <w:rPr>
                <w:rFonts w:ascii="Aptos" w:hAnsi="Aptos"/>
                <w:color w:val="172019"/>
                <w:sz w:val="17"/>
              </w:rPr>
              <w:t>Climate and coastal disruption</w:t>
            </w:r>
          </w:p>
        </w:tc>
        <w:tc>
          <w:tcPr>
            <w:tcW w:type="dxa" w:w="3312"/>
            <w:vAlign w:val="center"/>
            <w:tcMar>
              <w:top w:w="90" w:type="dxa"/>
              <w:start w:w="110" w:type="dxa"/>
              <w:bottom w:w="90" w:type="dxa"/>
              <w:end w:w="110" w:type="dxa"/>
            </w:tcMar>
          </w:tcPr>
          <w:p>
            <w:pPr>
              <w:spacing w:after="0"/>
            </w:pPr>
            <w:r>
              <w:rPr>
                <w:rFonts w:ascii="Aptos" w:hAnsi="Aptos"/>
                <w:color w:val="172019"/>
                <w:sz w:val="17"/>
              </w:rPr>
              <w:t>Asset exposure, drainage performance, service downtime</w:t>
            </w:r>
          </w:p>
        </w:tc>
        <w:tc>
          <w:tcPr>
            <w:tcW w:type="dxa" w:w="4536"/>
            <w:vAlign w:val="center"/>
            <w:tcMar>
              <w:top w:w="90" w:type="dxa"/>
              <w:start w:w="110" w:type="dxa"/>
              <w:bottom w:w="90" w:type="dxa"/>
              <w:end w:w="110" w:type="dxa"/>
            </w:tcMar>
          </w:tcPr>
          <w:p>
            <w:pPr>
              <w:spacing w:after="0"/>
            </w:pPr>
            <w:r>
              <w:rPr>
                <w:rFonts w:ascii="Aptos" w:hAnsi="Aptos"/>
                <w:color w:val="172019"/>
                <w:sz w:val="17"/>
              </w:rPr>
              <w:t>Risk register, resilient standards and funded maintenance</w:t>
            </w:r>
          </w:p>
        </w:tc>
      </w:tr>
      <w:tr>
        <w:trPr>
          <w:cantSplit/>
        </w:trPr>
        <w:tc>
          <w:tcPr>
            <w:tcW w:type="dxa" w:w="2664"/>
            <w:vAlign w:val="center"/>
            <w:tcMar>
              <w:top w:w="90" w:type="dxa"/>
              <w:start w:w="110" w:type="dxa"/>
              <w:bottom w:w="90" w:type="dxa"/>
              <w:end w:w="110" w:type="dxa"/>
            </w:tcMar>
            <w:shd w:fill="EEF2EC"/>
          </w:tcPr>
          <w:p>
            <w:pPr>
              <w:spacing w:after="0"/>
            </w:pPr>
            <w:r>
              <w:rPr>
                <w:rFonts w:ascii="Aptos" w:hAnsi="Aptos"/>
                <w:color w:val="172019"/>
                <w:sz w:val="17"/>
              </w:rPr>
              <w:t>Governance and transparency gaps</w:t>
            </w:r>
          </w:p>
        </w:tc>
        <w:tc>
          <w:tcPr>
            <w:tcW w:type="dxa" w:w="3312"/>
            <w:vAlign w:val="center"/>
            <w:tcMar>
              <w:top w:w="90" w:type="dxa"/>
              <w:start w:w="110" w:type="dxa"/>
              <w:bottom w:w="90" w:type="dxa"/>
              <w:end w:w="110" w:type="dxa"/>
            </w:tcMar>
            <w:shd w:fill="EEF2EC"/>
          </w:tcPr>
          <w:p>
            <w:pPr>
              <w:spacing w:after="0"/>
            </w:pPr>
            <w:r>
              <w:rPr>
                <w:rFonts w:ascii="Aptos" w:hAnsi="Aptos"/>
                <w:color w:val="172019"/>
                <w:sz w:val="17"/>
              </w:rPr>
              <w:t>Late reports, unresolved audit actions, incomplete data</w:t>
            </w:r>
          </w:p>
        </w:tc>
        <w:tc>
          <w:tcPr>
            <w:tcW w:type="dxa" w:w="4536"/>
            <w:vAlign w:val="center"/>
            <w:tcMar>
              <w:top w:w="90" w:type="dxa"/>
              <w:start w:w="110" w:type="dxa"/>
              <w:bottom w:w="90" w:type="dxa"/>
              <w:end w:w="110" w:type="dxa"/>
            </w:tcMar>
            <w:shd w:fill="EEF2EC"/>
          </w:tcPr>
          <w:p>
            <w:pPr>
              <w:spacing w:after="0"/>
            </w:pPr>
            <w:r>
              <w:rPr>
                <w:rFonts w:ascii="Aptos" w:hAnsi="Aptos"/>
                <w:color w:val="172019"/>
                <w:sz w:val="17"/>
              </w:rPr>
              <w:t>Open scorecard, escalation, audit closure and EITI-aligned disclosure</w:t>
            </w:r>
          </w:p>
        </w:tc>
      </w:tr>
      <w:tr>
        <w:trPr>
          <w:cantSplit/>
        </w:trPr>
        <w:tc>
          <w:tcPr>
            <w:tcW w:type="dxa" w:w="2664"/>
            <w:vAlign w:val="center"/>
            <w:tcMar>
              <w:top w:w="90" w:type="dxa"/>
              <w:start w:w="110" w:type="dxa"/>
              <w:bottom w:w="90" w:type="dxa"/>
              <w:end w:w="110" w:type="dxa"/>
            </w:tcMar>
          </w:tcPr>
          <w:p>
            <w:pPr>
              <w:spacing w:after="0"/>
            </w:pPr>
            <w:r>
              <w:rPr>
                <w:rFonts w:ascii="Aptos" w:hAnsi="Aptos"/>
                <w:color w:val="172019"/>
                <w:sz w:val="17"/>
              </w:rPr>
              <w:t>Labour and skills bottlenecks</w:t>
            </w:r>
          </w:p>
        </w:tc>
        <w:tc>
          <w:tcPr>
            <w:tcW w:type="dxa" w:w="3312"/>
            <w:vAlign w:val="center"/>
            <w:tcMar>
              <w:top w:w="90" w:type="dxa"/>
              <w:start w:w="110" w:type="dxa"/>
              <w:bottom w:w="90" w:type="dxa"/>
              <w:end w:w="110" w:type="dxa"/>
            </w:tcMar>
          </w:tcPr>
          <w:p>
            <w:pPr>
              <w:spacing w:after="0"/>
            </w:pPr>
            <w:r>
              <w:rPr>
                <w:rFonts w:ascii="Aptos" w:hAnsi="Aptos"/>
                <w:color w:val="172019"/>
                <w:sz w:val="17"/>
              </w:rPr>
              <w:t>Critical vacancies, wage pressure, weak training conversion</w:t>
            </w:r>
          </w:p>
        </w:tc>
        <w:tc>
          <w:tcPr>
            <w:tcW w:type="dxa" w:w="4536"/>
            <w:vAlign w:val="center"/>
            <w:tcMar>
              <w:top w:w="90" w:type="dxa"/>
              <w:start w:w="110" w:type="dxa"/>
              <w:bottom w:w="90" w:type="dxa"/>
              <w:end w:w="110" w:type="dxa"/>
            </w:tcMar>
          </w:tcPr>
          <w:p>
            <w:pPr>
              <w:spacing w:after="0"/>
            </w:pPr>
            <w:r>
              <w:rPr>
                <w:rFonts w:ascii="Aptos" w:hAnsi="Aptos"/>
                <w:color w:val="172019"/>
                <w:sz w:val="17"/>
              </w:rPr>
              <w:t>Skills forecasting, apprenticeships, targeted migration and knowledge transfer</w:t>
            </w:r>
          </w:p>
        </w:tc>
      </w:tr>
    </w:tbl>
    <w:p>
      <w:pPr>
        <w:spacing w:after="0"/>
      </w:pPr>
    </w:p>
    <w:p>
      <w:pPr>
        <w:pStyle w:val="Heading2"/>
      </w:pPr>
      <w:r>
        <w:t>Control scorecard</w:t>
      </w:r>
    </w:p>
    <w:p>
      <w:pPr>
        <w:tabs>
          <w:tab w:pos="432" w:val="left"/>
        </w:tabs>
        <w:ind w:left="432" w:hanging="216"/>
      </w:pPr>
      <w:r>
        <w:t>-</w:t>
        <w:tab/>
        <w:t>Fiscal: NRF balance and projected balance under the downside case.</w:t>
      </w:r>
    </w:p>
    <w:p>
      <w:pPr>
        <w:tabs>
          <w:tab w:pos="432" w:val="left"/>
        </w:tabs>
        <w:ind w:left="432" w:hanging="216"/>
      </w:pPr>
      <w:r>
        <w:t>-</w:t>
        <w:tab/>
        <w:t>Delivery: share of major projects passing readiness gates and meeting cost/schedule tolerances.</w:t>
      </w:r>
    </w:p>
    <w:p>
      <w:pPr>
        <w:tabs>
          <w:tab w:pos="432" w:val="left"/>
        </w:tabs>
        <w:ind w:left="432" w:hanging="216"/>
      </w:pPr>
      <w:r>
        <w:t>-</w:t>
        <w:tab/>
        <w:t>Commercial: non-oil export growth, supplier upgrading, and productivity.</w:t>
      </w:r>
    </w:p>
    <w:p>
      <w:pPr>
        <w:tabs>
          <w:tab w:pos="432" w:val="left"/>
        </w:tabs>
        <w:ind w:left="432" w:hanging="216"/>
      </w:pPr>
      <w:r>
        <w:t>-</w:t>
        <w:tab/>
        <w:t>People: training completion, placement, wage progression, and local technical leadership.</w:t>
      </w:r>
    </w:p>
    <w:p>
      <w:pPr>
        <w:tabs>
          <w:tab w:pos="432" w:val="left"/>
        </w:tabs>
        <w:ind w:left="432" w:hanging="216"/>
      </w:pPr>
      <w:r>
        <w:t>-</w:t>
        <w:tab/>
        <w:t>Public value: service access, use, quality and distributional outcomes.</w:t>
      </w:r>
    </w:p>
    <w:p>
      <w:pPr>
        <w:tabs>
          <w:tab w:pos="432" w:val="left"/>
        </w:tabs>
        <w:ind w:left="432" w:hanging="216"/>
      </w:pPr>
      <w:r>
        <w:t>-</w:t>
        <w:tab/>
        <w:t>Resilience: people and assets protected, disruption avoided, and maintenance funded.</w:t>
      </w:r>
    </w:p>
    <w:p>
      <w:pPr>
        <w:tabs>
          <w:tab w:pos="432" w:val="left"/>
        </w:tabs>
        <w:ind w:left="432" w:hanging="216"/>
      </w:pPr>
      <w:r>
        <w:t>-</w:t>
        <w:tab/>
        <w:t>Institutions: disclosure timeliness, audit-action closure and statistical completeness.</w:t>
      </w:r>
    </w:p>
    <w:p>
      <w:pPr>
        <w:pStyle w:val="Heading1"/>
      </w:pPr>
      <w:r>
        <w:t>8. Portfolio Reflection</w:t>
      </w:r>
    </w:p>
    <w:p>
      <w:r>
        <w:t>This project deliberately connects engineering and systems thinking with business and public-value analysis. It treats Guyana’s transformation as a complex operating system: production creates inputs, financial rules allocate capacity, programs convert capacity into assets and services, and measurement closes the loop. The deliverables demonstrate the ability to frame an ambiguous energy-sector question, research authoritative evidence, build an auditable model, compare strategic trade-offs, design implementation governance, and communicate a clear executive recommendation.</w:t>
      </w:r>
    </w:p>
    <w:p>
      <w:pPr>
        <w:pStyle w:val="Heading2"/>
      </w:pPr>
      <w:r>
        <w:t>Skills demonstrated</w:t>
      </w:r>
    </w:p>
    <w:p>
      <w:pPr>
        <w:tabs>
          <w:tab w:pos="432" w:val="left"/>
        </w:tabs>
        <w:ind w:left="432" w:hanging="216"/>
      </w:pPr>
      <w:r>
        <w:t>-</w:t>
        <w:tab/>
        <w:t>Energy and market analysis: capacity expansion, revenue pathways, local-content and commercial spillovers.</w:t>
      </w:r>
    </w:p>
    <w:p>
      <w:pPr>
        <w:tabs>
          <w:tab w:pos="432" w:val="left"/>
        </w:tabs>
        <w:ind w:left="432" w:hanging="216"/>
      </w:pPr>
      <w:r>
        <w:t>-</w:t>
        <w:tab/>
        <w:t>Program management: workstreams, owners, stage gates, milestones, KPIs and escalation rules.</w:t>
      </w:r>
    </w:p>
    <w:p>
      <w:pPr>
        <w:tabs>
          <w:tab w:pos="432" w:val="left"/>
        </w:tabs>
        <w:ind w:left="432" w:hanging="216"/>
      </w:pPr>
      <w:r>
        <w:t>-</w:t>
        <w:tab/>
        <w:t>Quantitative business analysis: scenario assumptions, multi-criteria scoring and downside sensitivity.</w:t>
      </w:r>
    </w:p>
    <w:p>
      <w:pPr>
        <w:tabs>
          <w:tab w:pos="432" w:val="left"/>
        </w:tabs>
        <w:ind w:left="432" w:hanging="216"/>
      </w:pPr>
      <w:r>
        <w:t>-</w:t>
        <w:tab/>
        <w:t>Operations and systems thinking: conversion-chain bottlenecks, delivery capacity, maintenance and feedback loops.</w:t>
      </w:r>
    </w:p>
    <w:p>
      <w:pPr>
        <w:tabs>
          <w:tab w:pos="432" w:val="left"/>
        </w:tabs>
        <w:ind w:left="432" w:hanging="216"/>
      </w:pPr>
      <w:r>
        <w:t>-</w:t>
        <w:tab/>
        <w:t>Strategy and public value: diversification, human capital, inclusion, institutions and climate resilience.</w:t>
      </w:r>
    </w:p>
    <w:p>
      <w:pPr>
        <w:pStyle w:val="Heading1"/>
      </w:pPr>
      <w:r>
        <w:t>Sources</w:t>
      </w:r>
    </w:p>
    <w:p>
      <w:pPr>
        <w:spacing w:after="60"/>
      </w:pPr>
      <w:r>
        <w:rPr>
          <w:b/>
          <w:sz w:val="17"/>
        </w:rPr>
        <w:t xml:space="preserve">Bank of Guyana, Annual Report 2025: </w:t>
      </w:r>
      <w:r>
        <w:rPr>
          <w:color w:val="315C46"/>
          <w:sz w:val="17"/>
        </w:rPr>
        <w:t>https://bankofguyana.org.gy/bog/images/research/Reports/BOG_Annual_Report_2025.pdf</w:t>
      </w:r>
    </w:p>
    <w:p>
      <w:pPr>
        <w:spacing w:after="60"/>
      </w:pPr>
      <w:r>
        <w:rPr>
          <w:b/>
          <w:sz w:val="17"/>
        </w:rPr>
        <w:t xml:space="preserve">Ministry of Finance, Budget Speech 2026: </w:t>
      </w:r>
      <w:r>
        <w:rPr>
          <w:color w:val="315C46"/>
          <w:sz w:val="17"/>
        </w:rPr>
        <w:t>https://finance.gov.gy/wp-content/uploads/2026/01/Budget_Speech_2026.pdf</w:t>
      </w:r>
    </w:p>
    <w:p>
      <w:pPr>
        <w:spacing w:after="60"/>
      </w:pPr>
      <w:r>
        <w:rPr>
          <w:b/>
          <w:sz w:val="17"/>
        </w:rPr>
        <w:t xml:space="preserve">IMF, Guyana 2025 Article IV Consultation: </w:t>
      </w:r>
      <w:r>
        <w:rPr>
          <w:color w:val="315C46"/>
          <w:sz w:val="17"/>
        </w:rPr>
        <w:t>https://www.elibrary.imf.org/view/journals/002/2025/103/article-A001-en.xml</w:t>
      </w:r>
    </w:p>
    <w:p>
      <w:pPr>
        <w:spacing w:after="60"/>
      </w:pPr>
      <w:r>
        <w:rPr>
          <w:b/>
          <w:sz w:val="17"/>
        </w:rPr>
        <w:t xml:space="preserve">World Bank, Guyana country overview: </w:t>
      </w:r>
      <w:r>
        <w:rPr>
          <w:color w:val="315C46"/>
          <w:sz w:val="17"/>
        </w:rPr>
        <w:t>https://www.worldbank.org/ext/en/country/guyana</w:t>
      </w:r>
    </w:p>
    <w:p>
      <w:pPr>
        <w:spacing w:after="60"/>
      </w:pPr>
      <w:r>
        <w:rPr>
          <w:b/>
          <w:sz w:val="17"/>
        </w:rPr>
        <w:t xml:space="preserve">World Bank, Guyana data profile: </w:t>
      </w:r>
      <w:r>
        <w:rPr>
          <w:color w:val="315C46"/>
          <w:sz w:val="17"/>
        </w:rPr>
        <w:t>https://data.worldbank.org/country/guyana</w:t>
      </w:r>
    </w:p>
    <w:p>
      <w:pPr>
        <w:spacing w:after="60"/>
      </w:pPr>
      <w:r>
        <w:rPr>
          <w:b/>
          <w:sz w:val="17"/>
        </w:rPr>
        <w:t xml:space="preserve">Guyana Ministry of Natural Resources, local content update (2026): </w:t>
      </w:r>
      <w:r>
        <w:rPr>
          <w:color w:val="315C46"/>
          <w:sz w:val="17"/>
        </w:rPr>
        <w:t>https://mnr.gov.gy/2026/02/20/guyana-vindicated-with-push-for-local-content-legislation-minister-bharrat/</w:t>
      </w:r>
    </w:p>
    <w:p>
      <w:pPr>
        <w:spacing w:after="60"/>
      </w:pPr>
      <w:r>
        <w:rPr>
          <w:b/>
          <w:sz w:val="17"/>
        </w:rPr>
        <w:t xml:space="preserve">ExxonMobil, Yellowtail startup update (2025): </w:t>
      </w:r>
      <w:r>
        <w:rPr>
          <w:color w:val="315C46"/>
          <w:sz w:val="17"/>
        </w:rPr>
        <w:t>https://corporate.exxonmobil.com/news/news-releases/2025/0808_exxonmobil-guyana-begins-production-at-fourth-offshore-guyana-project</w:t>
      </w:r>
    </w:p>
    <w:p>
      <w:pPr>
        <w:spacing w:after="60"/>
      </w:pPr>
      <w:r>
        <w:rPr>
          <w:b/>
          <w:sz w:val="17"/>
        </w:rPr>
        <w:t xml:space="preserve">Guyana EITI, publications and data: </w:t>
      </w:r>
      <w:r>
        <w:rPr>
          <w:color w:val="315C46"/>
          <w:sz w:val="17"/>
        </w:rPr>
        <w:t>https://eiti.gy/publications-and-data/</w:t>
      </w:r>
    </w:p>
    <w:p>
      <w:r>
        <w:rPr>
          <w:b/>
        </w:rPr>
        <w:t xml:space="preserve">Source and model note: </w:t>
      </w:r>
      <w:r>
        <w:t>Official values are labelled by source and period. Scenario allocations, coefficients, scores, triggers, implementation design, and recommendations are the author’s independent analytical constructs. Figures may be revised by source institutions after publication.</w:t>
      </w:r>
    </w:p>
    <w:sectPr w:rsidR="00FC693F" w:rsidRPr="0006063C" w:rsidSect="00034616">
      <w:headerReference w:type="default" r:id="rId9"/>
      <w:footerReference w:type="default" r:id="rId10"/>
      <w:pgSz w:w="12240" w:h="15840"/>
      <w:pgMar w:top="936" w:right="1152" w:bottom="936"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67068"/>
        <w:sz w:val="14"/>
      </w:rPr>
      <w:t>Vishvanath Naik  |  Portfolio case study  |  24 July 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Aptos" w:hAnsi="Aptos"/>
        <w:color w:val="667068"/>
        <w:sz w:val="14"/>
      </w:rPr>
      <w:t>GUYANA RESOURCE-LED ECONOMIC TRANSFORMATION  |  INDEPENDENT PORTFOLIO CASE STUDY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ptos" w:hAnsi="Aptos"/>
      <w:color w:val="172019"/>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Display" w:hAnsi="Aptos Display"/>
      <w:b/>
      <w:bCs/>
      <w:color w:val="315C46"/>
      <w:sz w:val="36"/>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315C46"/>
      <w:sz w:val="26"/>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ptos Display" w:hAnsi="Aptos Display"/>
      <w:b/>
      <w:bCs/>
      <w:color w:val="A85B3A"/>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