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80"/>
      </w:pPr>
      <w:r>
        <w:rPr>
          <w:rFonts w:ascii="Aptos" w:hAnsi="Aptos"/>
          <w:b/>
          <w:i w:val="0"/>
          <w:color w:val="0E7490"/>
          <w:sz w:val="18"/>
        </w:rPr>
        <w:t>LAST-MILE DELIVERY OPERATIONS CASE STUDY</w:t>
      </w:r>
    </w:p>
    <w:p>
      <w:pPr>
        <w:spacing w:after="80"/>
      </w:pPr>
      <w:r>
        <w:rPr>
          <w:rFonts w:ascii="Aptos Display" w:hAnsi="Aptos Display"/>
          <w:b/>
          <w:i w:val="0"/>
          <w:color w:val="243665"/>
          <w:sz w:val="50"/>
        </w:rPr>
        <w:t>Last-Mile Delivery Throughput Optimization Program</w:t>
      </w:r>
    </w:p>
    <w:p>
      <w:pPr>
        <w:spacing w:after="80"/>
      </w:pPr>
      <w:r>
        <w:rPr>
          <w:rFonts w:ascii="Aptos" w:hAnsi="Aptos"/>
          <w:b w:val="0"/>
          <w:i/>
          <w:color w:val="5F7182"/>
          <w:sz w:val="26"/>
        </w:rPr>
        <w:t>A DMAIC-informed program design using transparent synthetic operations data</w:t>
      </w:r>
    </w:p>
    <w:p>
      <w:pPr>
        <w:spacing w:after="240"/>
      </w:pPr>
      <w:r>
        <w:rPr>
          <w:rFonts w:ascii="Aptos" w:hAnsi="Aptos"/>
          <w:b/>
          <w:i w:val="0"/>
          <w:color w:val="17242C"/>
          <w:sz w:val="20"/>
        </w:rPr>
        <w:t>Vishvanath Naik  |  August 2026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CEFF4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243665"/>
                <w:sz w:val="18"/>
              </w:rPr>
              <w:t xml:space="preserve">Evidence disclosure: </w:t>
            </w:r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Meridian Logistics Network is fictional. Public sources provide selected context only. The dataset contains 7,450 synthetic van-level observations. Operational results and financial benefits are formula-derived model outputs, not employer results.</w:t>
            </w:r>
          </w:p>
        </w:tc>
      </w:tr>
    </w:tbl>
    <w:p>
      <w:pPr>
        <w:spacing w:after="20"/>
      </w:pPr>
    </w:p>
    <w:p>
      <w:pPr>
        <w:pStyle w:val="Heading1"/>
      </w:pPr>
      <w:r>
        <w:t>Executive Summary</w:t>
      </w:r>
    </w:p>
    <w:p>
      <w:pPr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This case study shows how a program manager could diagnose and address a peak-window dock constraint across five fictional delivery stations. The work combines process design, van-level analysis, a six-week pilot, phased rollout governance, a component-based benefits model, and a control mechanism.</w:t>
      </w:r>
    </w:p>
    <w:p>
      <w:pPr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The modeled network moves from 14.60 to 11.39 minutes per van, a 22.0% reduction. On-time dispatch rises from 80.2% to 95.6%. The theoretical throughput-capacity gain is 28.2% before utilization and other constraints. These results come from synthetic observations and demonstrate the analysis method, not a completed operational achievement.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1450"/>
        <w:gridCol w:w="1550"/>
        <w:gridCol w:w="3860"/>
      </w:tblGrid>
      <w:tr>
        <w:trPr>
          <w:tblHeader w:val="true"/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Outcome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Baseline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Post rollout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Interpretation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Dock-to-departure time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14.60 min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11.39 min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22.0% lower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On-time dispatch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80.2%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95.6%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15.4 percentage-point increase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Failed-package rate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5.08%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3.28%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Guardrail improved in the model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Overtime per route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20.9 min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10.0 min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52.2% lower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Year 1 net benefit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Not applicable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$406K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Base case after implementation costs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4F4EA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243665"/>
                <w:sz w:val="18"/>
              </w:rPr>
              <w:t xml:space="preserve">Decision: </w:t>
            </w:r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Adopt the standardized peak flow in the modeled network, subject to local safety sign-off, weekly guardrail review, and validation of financial assumptions with Operations and Finance.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1. Define</w:t>
      </w:r>
    </w:p>
    <w:p>
      <w:pPr>
        <w:pStyle w:val="Heading2"/>
      </w:pPr>
      <w:r>
        <w:t>Problem and Goal</w:t>
      </w:r>
    </w:p>
    <w:p>
      <w:pPr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Peak-window staging and scanning create a serial queue that delays departure and increases overtime, rescue activity, and delivery reattempt risk. The program goal is to reduce average dock-to-departure time by at least 20% and reach at least 95% on-time dispatch within 16 weeks.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1D6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243665"/>
                <w:sz w:val="18"/>
              </w:rPr>
              <w:t xml:space="preserve">Staffing boundary: </w:t>
            </w:r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The intervention uses two existing, cross-trained employees reassigned during the peak window. It does not add net headcount. The financial model includes an opportunity cost for that reassignment.</w:t>
            </w:r>
          </w:p>
        </w:tc>
      </w:tr>
    </w:tbl>
    <w:p>
      <w:pPr>
        <w:spacing w:after="20"/>
      </w:pPr>
    </w:p>
    <w:p>
      <w:pPr>
        <w:pStyle w:val="Heading2"/>
      </w:pPr>
      <w:r>
        <w:t>Scope and Guardrails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730"/>
        <w:gridCol w:w="3730"/>
      </w:tblGrid>
      <w:tr>
        <w:trPr>
          <w:tblHeader w:val="true"/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Area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Included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Excluded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Process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Staging, scanning, loading, and dispatch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Route optimization after departure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Network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Five fictional delivery stations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Line-haul and fulfillment-center operations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Time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6:00 to 9:00 peak window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Non-peak shift redesign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Guardrails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Safety, scan quality, missing packages, labor hours</w:t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Unvalidated customer-experience attribution</w:t>
            </w:r>
          </w:p>
        </w:tc>
      </w:tr>
    </w:tbl>
    <w:p>
      <w:pPr>
        <w:spacing w:after="20"/>
      </w:pPr>
    </w:p>
    <w:p>
      <w:pPr>
        <w:pStyle w:val="Heading2"/>
      </w:pPr>
      <w:r>
        <w:t>Customer and Business Measures</w:t>
      </w:r>
    </w:p>
    <w:p>
      <w:pPr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On-time dispatch is the primary critical-to-quality measure. It is a leading operational indicator, not a substitute for customer on-time delivery. A production study would quantify the relationship between departure delay and the customer promise before claiming downstream customer impact.</w:t>
      </w:r>
    </w:p>
    <w:p>
      <w:pPr>
        <w:pStyle w:val="Heading2"/>
      </w:pPr>
      <w:r>
        <w:t>RACI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1100"/>
        <w:gridCol w:w="1100"/>
        <w:gridCol w:w="1450"/>
        <w:gridCol w:w="1300"/>
        <w:gridCol w:w="1610"/>
      </w:tblGrid>
      <w:tr>
        <w:trPr>
          <w:tblHeader w:val="true"/>
          <w:cantSplit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Role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Design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Pilot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Go / No-Go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Rollout</w:t>
            </w:r>
          </w:p>
        </w:tc>
        <w:tc>
          <w:tcPr>
            <w:tcW w:type="dxa" w:w="1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Control</w:t>
            </w:r>
          </w:p>
        </w:tc>
      </w:tr>
      <w:tr>
        <w:trPr>
          <w:cantSplit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Central Operations Director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A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I</w:t>
            </w:r>
          </w:p>
        </w:tc>
        <w:tc>
          <w:tcPr>
            <w:tcW w:type="dxa" w:w="1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I</w:t>
            </w:r>
          </w:p>
        </w:tc>
      </w:tr>
      <w:tr>
        <w:trPr>
          <w:cantSplit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Program Owner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</w:t>
            </w:r>
          </w:p>
        </w:tc>
        <w:tc>
          <w:tcPr>
            <w:tcW w:type="dxa" w:w="1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</w:t>
            </w:r>
          </w:p>
        </w:tc>
      </w:tr>
      <w:tr>
        <w:trPr>
          <w:cantSplit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Station Operations Managers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</w:t>
            </w:r>
          </w:p>
        </w:tc>
        <w:tc>
          <w:tcPr>
            <w:tcW w:type="dxa" w:w="1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</w:t>
            </w:r>
          </w:p>
        </w:tc>
      </w:tr>
      <w:tr>
        <w:trPr>
          <w:cantSplit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IT / Scanning Systems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</w:t>
            </w:r>
          </w:p>
        </w:tc>
        <w:tc>
          <w:tcPr>
            <w:tcW w:type="dxa" w:w="1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</w:t>
            </w:r>
          </w:p>
        </w:tc>
      </w:tr>
      <w:tr>
        <w:trPr>
          <w:cantSplit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Safety and Compliance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</w:t>
            </w:r>
          </w:p>
        </w:tc>
        <w:tc>
          <w:tcPr>
            <w:tcW w:type="dxa" w:w="1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I</w:t>
            </w:r>
          </w:p>
        </w:tc>
      </w:tr>
    </w:tbl>
    <w:p>
      <w:pPr>
        <w:spacing w:after="20"/>
      </w:pPr>
    </w:p>
    <w:p>
      <w:pPr>
        <w:pStyle w:val="SmallNote"/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The Central Operations Director is the single accountable owner for the go/no-go decision. The Program Owner is responsible for preparing the decision, managing execution, and closing escalations.</w:t>
      </w:r>
    </w:p>
    <w:p>
      <w:pPr>
        <w:pStyle w:val="Heading1"/>
      </w:pPr>
      <w:r>
        <w:t>2. Measure</w:t>
      </w:r>
    </w:p>
    <w:p>
      <w:pPr>
        <w:pStyle w:val="Heading2"/>
      </w:pPr>
      <w:r>
        <w:t>Dataset and Operational Definitions</w:t>
      </w:r>
    </w:p>
    <w:p>
      <w:pPr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The revised workbook contains 7,450 deterministic synthetic van-level records: 3,200 baseline observations, 1,050 pilot observations at Station Alpha, and 3,200 post-rollout observations. Each record includes five process-stage times, departure delay, packages, stops, failed packages, overtime, lane count, and a data-quality flag.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5010"/>
        <w:gridCol w:w="1750"/>
      </w:tblGrid>
      <w:tr>
        <w:trPr>
          <w:tblHeader w:val="true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Metric</w:t>
            </w:r>
          </w:p>
        </w:tc>
        <w:tc>
          <w:tcPr>
            <w:tcW w:type="dxa" w:w="5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Operational definition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Unit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Dock-to-departure time</w:t>
            </w:r>
          </w:p>
        </w:tc>
        <w:tc>
          <w:tcPr>
            <w:tcW w:type="dxa" w:w="5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Sum of five measured process stages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minutes per van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On-time dispatch</w:t>
            </w:r>
          </w:p>
        </w:tc>
        <w:tc>
          <w:tcPr>
            <w:tcW w:type="dxa" w:w="5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Departure delay is zero or negative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rate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Failed-package rate</w:t>
            </w:r>
          </w:p>
        </w:tc>
        <w:tc>
          <w:tcPr>
            <w:tcW w:type="dxa" w:w="5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Failed packages divided by packages handled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rate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Overtime</w:t>
            </w:r>
          </w:p>
        </w:tc>
        <w:tc>
          <w:tcPr>
            <w:tcW w:type="dxa" w:w="5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Peak-window labor beyond scheduled time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minutes per route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243665"/>
                <w:sz w:val="18"/>
              </w:rPr>
              <w:t xml:space="preserve">Measurement boundary: </w:t>
            </w:r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Synthetic timestamps are reconciled to stage totals. A live implementation would also test scanner clock synchronization, missing events, duplicate scans, and agreement with manual observations.</w:t>
            </w:r>
          </w:p>
        </w:tc>
      </w:tr>
    </w:tbl>
    <w:p>
      <w:pPr>
        <w:spacing w:after="20"/>
      </w:pPr>
    </w:p>
    <w:p>
      <w:pPr>
        <w:pStyle w:val="Heading1"/>
      </w:pPr>
      <w:r>
        <w:t>3. Analyze</w:t>
      </w:r>
    </w:p>
    <w:p>
      <w:pPr>
        <w:pStyle w:val="Heading2"/>
      </w:pPr>
      <w:r>
        <w:t>Stage Contribution</w:t>
      </w:r>
    </w:p>
    <w:p>
      <w:pPr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The synthetic baseline assigns the largest portion of dock time to the staging queue. This supports a testable mechanism: one active lane, arrival-order loading, no real-time queue trigger, and no standardized peak response create a serial constraint.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400"/>
        <w:gridCol w:w="2600"/>
        <w:gridCol w:w="3360"/>
      </w:tblGrid>
      <w:tr>
        <w:trPr>
          <w:tblHeader w:val="true"/>
          <w:cantSplit/>
        </w:trPr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Stage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Baseline average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Approximate share</w:t>
            </w:r>
          </w:p>
        </w:tc>
      </w:tr>
      <w:tr>
        <w:trPr>
          <w:cantSplit/>
        </w:trPr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Inbound sort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1.46 min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10%</w:t>
            </w:r>
          </w:p>
        </w:tc>
      </w:tr>
      <w:tr>
        <w:trPr>
          <w:cantSplit/>
        </w:trPr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Staging queue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8.76 min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60%</w:t>
            </w:r>
          </w:p>
        </w:tc>
      </w:tr>
      <w:tr>
        <w:trPr>
          <w:cantSplit/>
        </w:trPr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Scan / verify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1.75 min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12%</w:t>
            </w:r>
          </w:p>
        </w:tc>
      </w:tr>
      <w:tr>
        <w:trPr>
          <w:cantSplit/>
        </w:trPr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Load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1.90 min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13%</w:t>
            </w:r>
          </w:p>
        </w:tc>
      </w:tr>
      <w:tr>
        <w:trPr>
          <w:cantSplit/>
        </w:trPr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Depart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0.73 min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5%</w:t>
            </w:r>
          </w:p>
        </w:tc>
      </w:tr>
    </w:tbl>
    <w:p>
      <w:pPr>
        <w:spacing w:after="20"/>
      </w:pPr>
    </w:p>
    <w:p>
      <w:pPr>
        <w:pStyle w:val="Heading2"/>
      </w:pPr>
      <w:r>
        <w:t>Root-Cause Logic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00"/>
        <w:gridCol w:w="6460"/>
      </w:tblGrid>
      <w:tr>
        <w:trPr>
          <w:tblHeader w:val="true"/>
          <w:cantSplit/>
        </w:trP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Why</w:t>
            </w:r>
          </w:p>
        </w:tc>
        <w:tc>
          <w:tcPr>
            <w:tcW w:type="dxa" w:w="6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Finding</w:t>
            </w:r>
          </w:p>
        </w:tc>
      </w:tr>
      <w:tr>
        <w:trPr>
          <w:cantSplit/>
        </w:trP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Why are departures late?</w:t>
            </w:r>
          </w:p>
        </w:tc>
        <w:tc>
          <w:tcPr>
            <w:tcW w:type="dxa" w:w="6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Vans spend too long waiting before scan and load.</w:t>
            </w:r>
          </w:p>
        </w:tc>
      </w:tr>
      <w:tr>
        <w:trPr>
          <w:cantSplit/>
        </w:trP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Why is the queue long?</w:t>
            </w:r>
          </w:p>
        </w:tc>
        <w:tc>
          <w:tcPr>
            <w:tcW w:type="dxa" w:w="6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All vans share one active staging and scan lane.</w:t>
            </w:r>
          </w:p>
        </w:tc>
      </w:tr>
      <w:tr>
        <w:trPr>
          <w:cantSplit/>
        </w:trP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Why is capacity not opened earlier?</w:t>
            </w:r>
          </w:p>
        </w:tc>
        <w:tc>
          <w:tcPr>
            <w:tcW w:type="dxa" w:w="6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There is no real-time trigger or assigned peak response.</w:t>
            </w:r>
          </w:p>
        </w:tc>
      </w:tr>
      <w:tr>
        <w:trPr>
          <w:cantSplit/>
        </w:trP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Why is response inconsistent?</w:t>
            </w:r>
          </w:p>
        </w:tc>
        <w:tc>
          <w:tcPr>
            <w:tcW w:type="dxa" w:w="6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Lane ownership and floater responsibilities are not standardized.</w:t>
            </w:r>
          </w:p>
        </w:tc>
      </w:tr>
      <w:tr>
        <w:trPr>
          <w:cantSplit/>
        </w:trP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Why does the problem recur?</w:t>
            </w:r>
          </w:p>
        </w:tc>
        <w:tc>
          <w:tcPr>
            <w:tcW w:type="dxa" w:w="6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The process lacks a control mechanism and onboarding standard.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1D6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243665"/>
                <w:sz w:val="18"/>
              </w:rPr>
              <w:t xml:space="preserve">Evidence boundary: </w:t>
            </w:r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The analysis validates the internal logic of the synthetic scenario. It does not prove that the same root cause exists in a real employer network.</w:t>
            </w:r>
          </w:p>
        </w:tc>
      </w:tr>
    </w:tbl>
    <w:p>
      <w:pPr>
        <w:spacing w:after="20"/>
      </w:pPr>
    </w:p>
    <w:p>
      <w:pPr>
        <w:pStyle w:val="Heading1"/>
      </w:pPr>
      <w:r>
        <w:t>4. Improve</w:t>
      </w:r>
    </w:p>
    <w:p>
      <w:pPr>
        <w:pStyle w:val="Heading2"/>
      </w:pPr>
      <w:r>
        <w:t>Six-Week Pilot at Station Alpha</w:t>
      </w:r>
    </w:p>
    <w:p>
      <w:pPr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The pilot uses weekly van-level observations and cumulative intervention states. It is designed as a practical operational pilot rather than a randomized experiment. Each stage has a defined change, observation count, guardrail review, and continue or stop decision.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0"/>
        <w:gridCol w:w="2760"/>
        <w:gridCol w:w="3800"/>
        <w:gridCol w:w="1800"/>
      </w:tblGrid>
      <w:tr>
        <w:trPr>
          <w:tblHeader w:val="true"/>
          <w:cantSplit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Week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Intervention state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Expected mechanism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Decision</w:t>
            </w:r>
          </w:p>
        </w:tc>
      </w:tr>
      <w:tr>
        <w:trPr>
          <w:cantSplit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1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Staggered starts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Reduce synchronized arrival surge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Continue</w:t>
            </w:r>
          </w:p>
        </w:tc>
      </w:tr>
      <w:tr>
        <w:trPr>
          <w:cantSplit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2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Add route-zone lanes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Create parallel flow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Continue</w:t>
            </w:r>
          </w:p>
        </w:tc>
      </w:tr>
      <w:tr>
        <w:trPr>
          <w:cantSplit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3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Stabilize lane ownership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Reduce response variation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Continue</w:t>
            </w:r>
          </w:p>
        </w:tc>
      </w:tr>
      <w:tr>
        <w:trPr>
          <w:cantSplit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4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Pre-stage high-volume routes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Shift work outside peak queue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Continue</w:t>
            </w:r>
          </w:p>
        </w:tc>
      </w:tr>
      <w:tr>
        <w:trPr>
          <w:cantSplit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5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Reassign two existing floaters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Protect lane capacity at peak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Continue</w:t>
            </w:r>
          </w:p>
        </w:tc>
      </w:tr>
      <w:tr>
        <w:trPr>
          <w:cantSplit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6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Full pilot standard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Confirm combined operating method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Adopt</w:t>
            </w:r>
          </w:p>
        </w:tc>
      </w:tr>
    </w:tbl>
    <w:p>
      <w:pPr>
        <w:spacing w:after="20"/>
      </w:pPr>
    </w:p>
    <w:p>
      <w:pPr>
        <w:pStyle w:val="SmallNote"/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The cumulative design means the intervention effects are not fully separable. A real pilot should add a comparison shift or station, confidence intervals, and predetermined acceptance criteria before making a causal claim.</w:t>
      </w:r>
    </w:p>
    <w:p>
      <w:pPr>
        <w:pStyle w:val="Heading1"/>
      </w:pPr>
      <w:r>
        <w:t>5. Rollout and Financial Case</w:t>
      </w:r>
    </w:p>
    <w:p>
      <w:pPr>
        <w:pStyle w:val="Heading2"/>
      </w:pPr>
      <w:r>
        <w:t>Rollout Governance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1600"/>
        <w:gridCol w:w="3750"/>
        <w:gridCol w:w="2460"/>
      </w:tblGrid>
      <w:tr>
        <w:trPr>
          <w:tblHeader w:val="true"/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Station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Window</w:t>
            </w:r>
          </w:p>
        </w:tc>
        <w:tc>
          <w:tcPr>
            <w:tcW w:type="dxa" w:w="3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Readiness gate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Local owner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Alpha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Weeks 1 to 6</w:t>
            </w:r>
          </w:p>
        </w:tc>
        <w:tc>
          <w:tcPr>
            <w:tcW w:type="dxa" w:w="3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Pilot acceptance and guardrail review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Alpha Ops Manager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Beta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Weeks 7 to 8</w:t>
            </w:r>
          </w:p>
        </w:tc>
        <w:tc>
          <w:tcPr>
            <w:tcW w:type="dxa" w:w="3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Training and lane configuration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Beta Ops Manager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Delta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Weeks 9 to 10</w:t>
            </w:r>
          </w:p>
        </w:tc>
        <w:tc>
          <w:tcPr>
            <w:tcW w:type="dxa" w:w="3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Training and lane configuration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Delta Ops Manager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Epsilon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Weeks 11 to 13</w:t>
            </w:r>
          </w:p>
        </w:tc>
        <w:tc>
          <w:tcPr>
            <w:tcW w:type="dxa" w:w="3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Site-specific layout and safety sign-off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Epsilon Ops Manager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Gamma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Weeks 14 to 16</w:t>
            </w:r>
          </w:p>
        </w:tc>
        <w:tc>
          <w:tcPr>
            <w:tcW w:type="dxa" w:w="3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Peak-volume readiness review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Gamma Ops Manager</w:t>
            </w:r>
          </w:p>
        </w:tc>
      </w:tr>
    </w:tbl>
    <w:p>
      <w:pPr>
        <w:spacing w:after="20"/>
      </w:pPr>
    </w:p>
    <w:p>
      <w:pPr>
        <w:pStyle w:val="Heading2"/>
      </w:pPr>
      <w:r>
        <w:t>Component-Based Benefit Model</w:t>
      </w:r>
    </w:p>
    <w:p>
      <w:pPr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The revised business case avoids applying one assumed cost-per-package reduction to every package. It models three operational mechanisms, applies an 80% attribution factor, and subtracts implementation costs.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2000"/>
        <w:gridCol w:w="4360"/>
      </w:tblGrid>
      <w:tr>
        <w:trPr>
          <w:tblHeader w:val="true"/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Component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Annual gross benefit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Model logic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Avoided delivery reattempts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$531K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Failure-rate reduction multiplied by packages, reattempt cost, and operating days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Reduced overtime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$212K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Minutes saved multiplied by route count, labor rate, and operating days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Reduced rescue routes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$70K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Six fewer rescues per day multiplied by rescue cost and operating days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Gross quantified benefit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$814K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Sum of modeled mechanisms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Attributable recurring benefit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$651K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Gross benefit multiplied by 80% attribution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Year 1 net benefit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$406K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Attributable benefit less $245K implementation cost</w:t>
            </w:r>
          </w:p>
        </w:tc>
      </w:tr>
    </w:tbl>
    <w:p>
      <w:pPr>
        <w:spacing w:after="2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1800"/>
        <w:gridCol w:w="2600"/>
        <w:gridCol w:w="2620"/>
      </w:tblGrid>
      <w:tr>
        <w:trPr>
          <w:tblHeader w:val="true"/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Case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Attribution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Recurring benefit</w:t>
            </w:r>
          </w:p>
        </w:tc>
        <w:tc>
          <w:tcPr>
            <w:tcW w:type="dxa" w:w="2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Year 1 net</w:t>
            </w:r>
          </w:p>
        </w:tc>
      </w:tr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Downside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50%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$407K</w:t>
            </w:r>
          </w:p>
        </w:tc>
        <w:tc>
          <w:tcPr>
            <w:tcW w:type="dxa" w:w="2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$162K</w:t>
            </w:r>
          </w:p>
        </w:tc>
      </w:tr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Base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80%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$651K</w:t>
            </w:r>
          </w:p>
        </w:tc>
        <w:tc>
          <w:tcPr>
            <w:tcW w:type="dxa" w:w="2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$406K</w:t>
            </w:r>
          </w:p>
        </w:tc>
      </w:tr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Upside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100%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$814K</w:t>
            </w:r>
          </w:p>
        </w:tc>
        <w:tc>
          <w:tcPr>
            <w:tcW w:type="dxa" w:w="26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$569K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1D6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243665"/>
                <w:sz w:val="18"/>
              </w:rPr>
              <w:t xml:space="preserve">Finance validation: </w:t>
            </w:r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Reattempt cost, rescue cost, labor rate, and implementation cost remain synthetic assumptions. A real rollout requires Finance approval and a benefits-realization owner.</w:t>
            </w:r>
          </w:p>
        </w:tc>
      </w:tr>
    </w:tbl>
    <w:p>
      <w:pPr>
        <w:spacing w:after="20"/>
      </w:pPr>
    </w:p>
    <w:p>
      <w:pPr>
        <w:pStyle w:val="Heading1"/>
      </w:pPr>
      <w:r>
        <w:t>6. Control</w:t>
      </w:r>
    </w:p>
    <w:p>
      <w:pPr>
        <w:pStyle w:val="Heading2"/>
      </w:pPr>
      <w:r>
        <w:t>Monitoring Mechanism</w:t>
      </w:r>
    </w:p>
    <w:p>
      <w:pPr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The business target and statistical control limits are intentionally separate. The target is 11.7 minutes. The center line and control limits come from stable post-rollout weekly observations, with limits set at the mean plus or minus three standard deviations of weekly means.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3650"/>
        <w:gridCol w:w="1750"/>
        <w:gridCol w:w="1160"/>
      </w:tblGrid>
      <w:tr>
        <w:trPr>
          <w:tblHeader w:val="true"/>
          <w:cantSplit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Trigger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Response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Timing</w:t>
            </w:r>
          </w:p>
        </w:tc>
      </w:tr>
      <w:tr>
        <w:trPr>
          <w:cantSplit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Above target for two weeks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Review staffing, lane uptime, and volume mix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Station Ops Manager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Within 24 hours</w:t>
            </w:r>
          </w:p>
        </w:tc>
      </w:tr>
      <w:tr>
        <w:trPr>
          <w:cantSplit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Point beyond control limit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Investigate special cause and contain impact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Program Owner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Same day</w:t>
            </w:r>
          </w:p>
        </w:tc>
      </w:tr>
      <w:tr>
        <w:trPr>
          <w:cantSplit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Safety or scan-quality deterioration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Pause local standard and escalate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Safety or IT Lead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Immediate</w:t>
            </w:r>
          </w:p>
        </w:tc>
      </w:tr>
      <w:tr>
        <w:trPr>
          <w:cantSplit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Stable improvement for eight weeks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Review standardization and training update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Program Owner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Monthly review</w:t>
            </w:r>
          </w:p>
        </w:tc>
      </w:tr>
    </w:tbl>
    <w:p>
      <w:pPr>
        <w:spacing w:after="20"/>
      </w:pPr>
    </w:p>
    <w:p>
      <w:pPr>
        <w:pStyle w:val="Heading2"/>
      </w:pPr>
      <w:r>
        <w:t>Operating Cadence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50"/>
        <w:gridCol w:w="3220"/>
        <w:gridCol w:w="1450"/>
        <w:gridCol w:w="2540"/>
      </w:tblGrid>
      <w:tr>
        <w:trPr>
          <w:tblHeader w:val="true"/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Mechanism</w:t>
            </w:r>
          </w:p>
        </w:tc>
        <w:tc>
          <w:tcPr>
            <w:tcW w:type="dxa" w:w="3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Purpose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Cadence</w:t>
            </w:r>
          </w:p>
        </w:tc>
        <w:tc>
          <w:tcPr>
            <w:tcW w:type="dxa" w:w="25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Output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Daily station huddle</w:t>
            </w:r>
          </w:p>
        </w:tc>
        <w:tc>
          <w:tcPr>
            <w:tcW w:type="dxa" w:w="3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Review target and guardrails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Daily</w:t>
            </w:r>
          </w:p>
        </w:tc>
        <w:tc>
          <w:tcPr>
            <w:tcW w:type="dxa" w:w="25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Local actions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Weekly business review</w:t>
            </w:r>
          </w:p>
        </w:tc>
        <w:tc>
          <w:tcPr>
            <w:tcW w:type="dxa" w:w="3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Validate metrics, risks, and dependencies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Weekly</w:t>
            </w:r>
          </w:p>
        </w:tc>
        <w:tc>
          <w:tcPr>
            <w:tcW w:type="dxa" w:w="25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Scorecard and action log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Network review</w:t>
            </w:r>
          </w:p>
        </w:tc>
        <w:tc>
          <w:tcPr>
            <w:tcW w:type="dxa" w:w="3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Review control signals and realized benefits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Monthly</w:t>
            </w:r>
          </w:p>
        </w:tc>
        <w:tc>
          <w:tcPr>
            <w:tcW w:type="dxa" w:w="25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Decisions and escalations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SOP review</w:t>
            </w:r>
          </w:p>
        </w:tc>
        <w:tc>
          <w:tcPr>
            <w:tcW w:type="dxa" w:w="3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Update process after confirmed change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Quarterly</w:t>
            </w:r>
          </w:p>
        </w:tc>
        <w:tc>
          <w:tcPr>
            <w:tcW w:type="dxa" w:w="25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Approved standard</w:t>
            </w:r>
          </w:p>
        </w:tc>
      </w:tr>
    </w:tbl>
    <w:p>
      <w:pPr>
        <w:spacing w:after="20"/>
      </w:pPr>
    </w:p>
    <w:p>
      <w:pPr>
        <w:pStyle w:val="Heading2"/>
      </w:pPr>
      <w:r>
        <w:t>Priority Risks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3660"/>
        <w:gridCol w:w="2700"/>
      </w:tblGrid>
      <w:tr>
        <w:trPr>
          <w:tblHeader w:val="true"/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Risk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Mitigation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6"/>
              </w:rPr>
              <w:t>Early signal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Peak volume re-saturates lanes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Capacity scenario and reassignment plan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Queue time and lane utilization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Turnover erodes adherence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Training checklist in onboarding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Audit failure or rising variation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Scanner configuration delay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Configure one week before go-live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Failed readiness gate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Facility layout differences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Local site walk and safety sign-off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Unsafe or constrained flow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Change fatigue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Local owner, visible results, and closed action log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6"/>
              </w:rPr>
              <w:t>Missed actions or declining adherence</w:t>
            </w:r>
          </w:p>
        </w:tc>
      </w:tr>
    </w:tbl>
    <w:p>
      <w:pPr>
        <w:spacing w:after="20"/>
      </w:pPr>
    </w:p>
    <w:p>
      <w:pPr>
        <w:pStyle w:val="Heading1"/>
      </w:pPr>
      <w:r>
        <w:t>7. Program-Management and Amazon Relevance</w:t>
      </w:r>
    </w:p>
    <w:p>
      <w:pPr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The value of the case study is the operating system around the analysis. It demonstrates how an engineering-style constraint diagnosis can be converted into a business case, rollout plan, governance structure, and repeatable operating mechanism.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Capability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43665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Evidence in this case study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Dive Deep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Van-level data, stage contribution, station segmentation, and explicit evidence boundaries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Bias for Action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Small weekly changes with continue or stop decisions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Ownership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One accountable sponsor, local owners, escalation rules, and benefit ownership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Deliver Results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7F9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Formula-derived operating outcomes and a conservative, auditable financial model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Earn Trust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i w:val="0"/>
                <w:color w:val="17242C"/>
                <w:sz w:val="18"/>
              </w:rPr>
              <w:t>Clear separation of synthetic data, public context, model outputs, and verified experience</w:t>
            </w:r>
          </w:p>
        </w:tc>
      </w:tr>
    </w:tbl>
    <w:p>
      <w:pPr>
        <w:spacing w:after="20"/>
      </w:pPr>
    </w:p>
    <w:p>
      <w:pPr>
        <w:pStyle w:val="Heading2"/>
      </w:pPr>
      <w:r>
        <w:t>References</w:t>
      </w:r>
    </w:p>
    <w:p>
      <w:pPr>
        <w:pStyle w:val="SmallNote"/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Amazon Science. 2021 Amazon Last Mile Routing Research Challenge: Data Set. https://www.amazon.science/publications/2021-amazon-last-mile-routing-research-challenge-data-set</w:t>
      </w:r>
    </w:p>
    <w:p>
      <w:pPr>
        <w:pStyle w:val="SmallNote"/>
        <w:keepLines w:val="0"/>
      </w:pPr>
      <w:r>
        <w:rPr>
          <w:rFonts w:ascii="Aptos" w:hAnsi="Aptos"/>
          <w:b w:val="0"/>
          <w:i w:val="0"/>
          <w:color w:val="17242C"/>
          <w:sz w:val="21"/>
        </w:rPr>
        <w:t>Companion files: Last_Mile_Delivery_KPI_Model_Revised.xlsx and Last_Mile_Delivery_Program_Overview_Revised.pptx.</w:t>
      </w:r>
    </w:p>
    <w:sectPr w:rsidR="00FC693F" w:rsidRPr="0006063C" w:rsidSect="00034616">
      <w:footerReference w:type="default" r:id="rId9"/>
      <w:pgSz w:w="12240" w:h="15840"/>
      <w:pgMar w:top="1037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i w:val="0"/>
        <w:color w:val="5F7182"/>
        <w:sz w:val="16"/>
      </w:rPr>
      <w:t xml:space="preserve">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17242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4366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E749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4366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52" w:lineRule="auto"/>
    </w:pPr>
    <w:rPr>
      <w:rFonts w:ascii="Aptos" w:hAnsi="Aptos"/>
      <w:i/>
      <w:color w:val="5F7182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